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13" w:rsidRPr="00337E13" w:rsidRDefault="00337E13" w:rsidP="00337E13">
      <w:pPr>
        <w:widowControl/>
        <w:spacing w:after="225"/>
        <w:ind w:firstLineChars="0" w:firstLine="540"/>
        <w:jc w:val="center"/>
        <w:rPr>
          <w:rFonts w:ascii="Helvetica" w:eastAsia="宋体" w:hAnsi="Helvetica" w:cs="Helvetica"/>
          <w:color w:val="404040"/>
          <w:kern w:val="0"/>
          <w:sz w:val="27"/>
          <w:szCs w:val="27"/>
        </w:rPr>
      </w:pPr>
      <w:r w:rsidRPr="00337E13">
        <w:rPr>
          <w:rFonts w:ascii="Helvetica" w:eastAsia="宋体" w:hAnsi="Helvetica" w:cs="Helvetica"/>
          <w:b/>
          <w:bCs/>
          <w:color w:val="000080"/>
          <w:kern w:val="0"/>
          <w:sz w:val="27"/>
        </w:rPr>
        <w:t>中华人民共和国证券法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楷体" w:eastAsia="楷体" w:hAnsi="楷体" w:cs="Helvetica"/>
          <w:color w:val="404040"/>
          <w:kern w:val="0"/>
          <w:sz w:val="27"/>
          <w:szCs w:val="27"/>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目录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第一章　总则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第二章　证券发行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第三章　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第一节　一般规定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第二节　证券上市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第三节　禁止的交易行为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第四章　上市公司的收购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第五章　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第六章　投资者保护</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第七章　证券交易场所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第八章　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第九章　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第十章　证券服务机构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第十一章　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第十二章　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第十三章　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第十四章　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第一章　总则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第一条　为了规范证券发行和交易行为，保护投资者的合法权益，维护社会经济秩序和社会公共利益，促进社会主义市场经济的发展，制定本法。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第二条　在中华人民共和国境内，股票、公司债券、存托凭证和国务院依法认定的其他证券的发行和交易，适用本法；本法未规定的，适用《中华人民共和国公司法》和其他法律、行政法规的规定。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政府债券、证券投资基金份额的上市交易，适用本法；其他法律、行政法规另有规定的，适用其规定。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资产支持证券、资产管理产品发行、交易的管理办法，由国务院依照本法的原则规定。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在中华人民共和国境外的证券发行和交易活动，扰乱中华人民共和国境内市场秩序，损害境内投资者合法权益的，依照本法有关规定处理并追究法律责任。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第三条　证券的发行、交易活动，必须遵循公开、公平、公正的原则。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第四条　证券发行、交易活动的当事人具有平等的法律地位，应当遵守自愿、有偿、诚实信用的原则。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第五条　证券的发行、交易活动，必须遵守法律、行政法规；禁止欺诈、内幕交易和操纵证券市场的行为。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第六条　证券业和银行业、信托业、保险业实行分业经营、分业管理，证券公司与银行、信托、保险业务机构分别设立。国家另有规定的除外。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第七条　国务院证券监督管理机构依法对全国证券市场实行集中统一监督管理。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国务院证券监督管理机构根据需要可以设立派出机构，按照授权履行监督管理职责。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第八条　国家审计机关依法对证券交易场所、证券公司、证券登记结算机构、证券监督管理机构进行审计监督。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第二章　证券发行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有下列情形之一的，为公开发行：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（一）向不特定对象发行证券；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（二）向特定对象发行证券累计超过二百人，但依法实施员工持股计划的员工人数不计算在内；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（三）法律、行政法规规定的其他发行行为。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非公开发行证券，不得采用广告、公开劝诱和变相公开方式。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第十条　发行人申请公开发行股票、可转换为股票的公司债券，依法采取承销方式的，或者公开发行法律、行政法规规定实行保荐制度的其他证券的，应当聘请证券公司担任保荐人。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保荐人应当遵守业务规则和行业规范，诚实守信，勤勉尽责，对发行人的申请文件和信息披露资料进行审慎核查，督导发行人规范运作。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保荐人的管理办法由国务院证券监督管理机构规定。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第十一条　设立股份有限公司公开发行股票，应当符合《中华人民共和国公司法》规定的条件和经国务院批准的国务院证券监督管理机构规定的其他条件，向国务院证券监督管理机构报送募股申请和下列文件：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（二）发起人协议；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（三）发起人姓名或者名称，发起人认购的股份数、出资种类及验资证明；</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（四）招股说明书；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（五）代收股款银行的名称及地址；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（六）承销机构名称及有关的协议。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依照本法规定聘请保荐人的，还应当报送保荐人出具的发行保荐书。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法律、行政法规规定设立公司必须报经批准的，还应当提交相应的批准文件。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第十二条　公司首次公开发行新股，应当符合下列条件：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（一）具备健全且运行良好的组织机构；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（二）具有持续经营能力；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（三）最近三年财务会计报告被出具无保留意见审计报告；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（四）发行人及其控股股东、实际控制人最近三年不存在贪污、贿赂、侵占财产、挪用财产或者破坏社会主义市场经济秩序的刑事犯罪；</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（五）经国务院批准的国务院证券监督管理机构规定的其他条件。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上市公司发行新股，应当符合经国务院批准的国务院证券监督管理机构规定的条件，具体管理办法由国务院证券监督管理机构规定。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公开发行存托凭证的，应当符合首次公开发行新股的条件以及国务院证券监督管理机构规定的其他条件。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第十三条　公司公开发行新股，应当报送募股申请和下列文件：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（三）股东大会决议；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（四）招股说明书或者其他公开发行募集文件；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（五）财务会计报告；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（六）代收股款银行的名称及地址。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依照本法规定聘请保荐人的，还应当报送保荐人出具的发行保荐书。依照本法规定实行承销的，还应当报送承销机构名称及有关的协议。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第十五条　公开发行公司债券，应当符合下列条件：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（一）具备健全且运行良好的组织机构；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（二）最近三年平均可分配利润足以支付公司债券一年的利息；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（三）国务院规定的其他条件。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公开发行公司债券筹集的资金，必须按照公司债券募集办法所列资金用途使用；改变资金用途，必须经债券持有人会议作出决议。公开发行公司债券筹集的资金，不得用于弥补亏损和非生产性支出。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第十六条　申请公开发行公司债券，应当向国务院授权的部门或者国务院证券监督管理机构报送下列文件：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（一）公司营业执照；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（三）公司债券募集办法；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（四）国务院授权的部门或者国务院证券监督管理机构规定的其他文件。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依照本法规定聘请保荐人的，还应当报送保荐人出具的发行保荐书。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第十七条　有下列情形之一的，不得再次公开发行公司债券：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（一）对已公开发行的公司债券或者其他债务有违约或者延迟支付本息的事实，仍处于继续状态；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（二）违反本法规定，改变公开发行公司债券所募资金的用途。</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第十八条　发行人依法申请公开发行证券所报送的申请文件的格式、报送方式，由依法负责注册的机构或者部门规定。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第十九条　发行人报送的证券发行申请文件，应当充分披露投资者作出价值判断和投资决策所必需的信息，内容应当真实、准确、完整。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为证券发行出具有关文件的证券服务机构和人员，必须严格履行法定职责，保证所出具文件的真实性、准确性和完整性。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第二十条　发行人申请首次公开发行股票的，在提交申请文件后，应当按照国务院证券监督管理机构的规定预先披露有关申请文件。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第二十一条　国务院证券监督管理机构或者国务院授权的部门依照法定条件负责证券发行申请的注册。证券公开发行注册的具体办法由国务院规定。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按照国务院的规定，证券交易所等可以审核公开发行证券申请，判断发行人是否符合发行条件、信息披露要求，督促发行人完善信息披露内容。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依照前两款规定参与证券发行申请注册的人员，不得与发行申请人有利害关系，不得直接或者间接接受发行申请人的馈赠，不得持有所注册的发行申请的证券，不得私下与发行申请人进行接触。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第二十三条　证券发行申请经注册后，发行人应当依照法律、行政法规的规定，在证券公开发行前公告公开发行募集文件，并将该文件置备于指定场所供公众查阅。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发行证券的信息依法公开前，任何知情人不得公开或者泄露该信息。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发行人不得在公告公开发行募集文件前发行证券。　　</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第二十四条　国务院证券监督管理机构或者国务院授权的部门对已作出的证券发行注册的决定，发现不符合法定条件或者法定程序，尚</w:t>
      </w:r>
      <w:r w:rsidRPr="00337E13">
        <w:rPr>
          <w:rFonts w:ascii="Helvetica" w:eastAsia="宋体" w:hAnsi="Helvetica" w:cs="Helvetica"/>
          <w:color w:val="404040"/>
          <w:kern w:val="0"/>
          <w:sz w:val="27"/>
          <w:szCs w:val="27"/>
        </w:rPr>
        <w:lastRenderedPageBreak/>
        <w:t>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第二十五条　股票依法发行后，发行人经营与收益的变化，由发行人自行负责；由此变化引致的投资风险，由投资者自行负责。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第二十六条　发行人向不特定对象发行的证券，法律、行政法规规定应当由证券公司承销的，发行人应当同证券公司签订承销协议。证券承销业务采取代销或者包销方式。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证券代销是指证券公司代发行人发售证券，在承销期结束时，将未售出的证券全部退还给发行人的承销方式。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证券包销是指证券公司将发行人的证券按照协议全部购入或者在承销期结束时将售后剩余证券全部自行购入的承销方式。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第二十七条　公开发行证券的发行人有权依法自主选择承销的证券公司。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第二十八条　证券公司承销证券，应当同发行人签订代销或者包销协议，载明下列事项：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（一）当事人的名称、住所及法定代表人姓名；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（二）代销、包销证券的种类、数量、金额及发行价格；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（三）代销、包销的期限及起止日期；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（四）代销、包销的付款方式及日期；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（五）代销、包销的费用和结算办法；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（六）违约责任；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证券公司承销证券，不得有下列行为：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（一）进行虚假的或者误导投资者的广告宣传或者其他宣传推介活动；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（二）以不正当竞争手段招揽承销业务；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（三）其他违反证券承销业务规定的行为。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证券公司有前款所列行为，给其他证券承销机构或者投资者造成损失的，应当依法承担赔偿责任。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第三十条　向不特定对象发行证券聘请承销团承销的，承销团应当由主承销和参与承销的证券公司组成。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第三十一条　证券的代销、包销期限最长不得超过九十日。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证券公司在代销、包销期内，对所代销、包销的证券应当保证先行出售给认购人，证券公司不得为本公司预留所代销的证券和预先购入并留存所包销的证券。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第三十二条　股票发行采取溢价发行的，其发行价格由发行人与承销的证券公司协商确定。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第三十三条　股票发行采用代销方式，代销期限届满，向投资者出售的股票数量未达到拟公开发行股票数量百分之七十的，为发行失败。发行人应当按照发行价并加算银行同期存款利息返还股票认购人。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第三十四条　公开发行股票，代销、包销期限届满，发行人应当在规定的期限内将股票发行情况报国务院证券监督管理机构备案。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 xml:space="preserve">　第三章　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第一节　一般规定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第三十五条　证券交易当事人依法买卖的证券，必须是依法发行并交付的证券。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非依法发行的证券，不得买卖。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第三十六条　依法发行的证券，《中华人民共和国公司法》和其他法律对其转让期限有限制性规定的，在限定的期限内不得转让。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第三十七条　公开发行的证券，应当在依法设立的证券交易所上市交易或者在国务院批准的其他全国性证券交易场所交易。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非公开发行的证券，可以在证券交易所、国务院批准的其他全国性证券交易场所、按照国务院规定设立的区域性股权市场转让。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第三十八条　证券在证券交易所上市交易，应当采用公开的集中交易方式或者国务院证券监督管理机构批准的其他方式。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第三十九条　证券交易当事人买卖的证券可以采用纸面形式或者国务院证券监督管理机构规定的其他形式。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第四十条　证券交易场所、证券公司和证券登记结算机构的从业人员，证券监督管理机构的工作人员以及法律、行政法规规定禁止参与股票交易的其他人员，在任期或者法定限期内，不得直接或者以化名、借</w:t>
      </w:r>
      <w:r w:rsidRPr="00337E13">
        <w:rPr>
          <w:rFonts w:ascii="Helvetica" w:eastAsia="宋体" w:hAnsi="Helvetica" w:cs="Helvetica"/>
          <w:color w:val="404040"/>
          <w:kern w:val="0"/>
          <w:sz w:val="27"/>
          <w:szCs w:val="27"/>
        </w:rPr>
        <w:lastRenderedPageBreak/>
        <w:t>他人名义持有、买卖股票或者其他具有股权性质的证券，也不得收受他人赠送的股票或者其他具有股权性质的证券。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任何人在成为前款所列人员时，其原已持有的股票或者其他具有股权性质的证券，必须依法转让。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实施股权激励计划或者员工持股计划的证券公司的从业人员，可以按照国务院证券监督管理机构的规定持有、卖出本公司股票或者其他具有股权性质的证券。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第四十一条　证券交易场所、证券公司、证券登记结算机构、证券服务机构及其工作人员应当依法为投资者的信息保密，不得非法买卖、提供或者公开投资者的信息。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证券交易场所、证券公司、证券登记结算机构、证券服务机构及其工作人员不得泄露所知悉的商业秘密。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第四十二条　为证券发行出具审计报告或者法律意见书等文件的证券服务机构和人员，在该证券承销期内和期满后六个月内，不得买卖该证券。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第四十三条　证券交易的收费必须合理，并公开收费项目、收费标准和管理办法。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前款所称董事、监事、高级管理人员、自然人股东持有的股票或者其他具有股权性质的证券，包括其配偶、父母、子女持有的及利用他人账户持有的股票或者其他具有股权性质的证券。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公司董事会不按照第一款规定执行的，股东有权要求董事会在三十日内执行。公司董事会未在上述期限内执行的，股东有权为了公司的利益以自己的名义直接向人民法院提起诉讼。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公司董事会不按照第一款的规定执行的，负有责任的董事依法承担连带责任。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第四十五条　通过计算机程序自动生成或者下达交易指令进行程序化交易的，应当符合国务院证券监督管理机构的规定，并向证券交易所报告，不得影响证券交易所系统安全或者正常交易秩序。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第二节　证券上市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第四十六条　申请证券上市交易，应当向证券交易所提出申请，由证券交易所依法审核同意，并由双方签订上市协议。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证券交易所根据国务院授权的部门的决定安排政府债券上市交易。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第四十七条　申请证券上市交易，应当符合证券交易所上市规则规定的上市条件。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证券交易所上市规则规定的上市条件，应当对发行人的经营年限、财务状况、最低公开发行比例和公司治理、诚信记录等提出要求。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第四十八条　上市交易的证券，有证券交易所规定的终止上市情形的，由证券交易所按照业务规则终止其上市交易。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证券交易所决定终止证券上市交易的，应当及时公告，并报国务院证券监督管理机构备案。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第四十九条　对证券交易所作出的不予上市交易、终止上市交易决定不服的，可以向证券交易所设立的复核机构申请复核。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第三节　禁止的交易行为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第五十条　禁止证券交易内幕信息的知情人和非法获取内幕信息的人利用内幕信息从事证券交易活动。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第五十一条　证券交易内幕信息的知情人包括：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（一）发行人及其董事、监事、高级管理人员；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（二）持有公司百分之五以上股份的股东及其董事、监事、高级管理人员，公司的实际控制人及其董事、监事、高级管理人员；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（三）发行人控股或者实际控制的公司及其董事、监事、高级管理人员；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（四）由于所任公司职务或者因与公司业务往来可以获取公司有关内幕信息的人员；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（五）上市公司收购人或者重大资产交易方及其控股股东、实际控制人、董事、监事和高级管理人员；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（六）因职务、工作可以获取内幕信息的证券交易场所、证券公司、证券登记结算机构、证券服务机构的有关人员；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（七）因职责、工作可以获取内幕信息的证券监督管理机构工作人员；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（八）因法定职责对证券的发行、交易或者对上市公司及其收购、重大资产交易进行管理可以获取内幕信息的有关主管部门、监管机构的工作人员；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（九）国务院证券监督管理机构规定的可以获取内幕信息的其他人员。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第五十二条　证券交易活动中，涉及发行人的经营、财务或者对该发行人证券的市场价格有重大影响的尚未公开的信息，为内幕信息。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本法第八十条第二款、第八十一条第二款所列重大事件属于内幕信息。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第五十三条　证券交易内幕信息的知情人和非法获取内幕信息的人，在内幕信息公开前，不得买卖该公司的证券，或者泄露该信息，或者建议他人买卖该证券。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持有或者通过协议、其他安排与他人共同持有公司百分之五以上股份的自然人、法人、非法人组织收购上市公司的股份，本法另有规定的，适用其规定。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内幕交易行为给投资者造成损失的，应当依法承担赔偿责任。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利用未公开信息进行交易给投资者造成损失的，应当依法承担赔偿责任。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第五十五条　禁止任何人以下列手段操纵证券市场，影响或者意图影响证券交易价格或者证券交易量：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（一）单独或者通过合谋，集中资金优势、持股优势或者利用信息优势联合或者连续买卖；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（二）与他人串通，以事先约定的时间、价格和方式相互进行证券交易；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（三）在自己实际控制的账户之间进行证券交易；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（四）不以成交为目的，频繁或者大量申报并撤销申报；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（五）利用虚假或者不确定的重大信息，诱导投资者进行证券交易；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（六）对证券、发行人公开作出评价、预测或者投资建议，并进行反向证券交易；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（七）利用在其他相关市场的活动操纵证券市场；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（八）操纵证券市场的其他手段。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操纵证券市场行为给投资者造成损失的，应当依法承担赔偿责任。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第五十六条　禁止任何单位和个人编造、传播虚假信息或者误导性信息，扰乱证券市场。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禁止证券交易场所、证券公司、证券登记结算机构、证券服务机构及其从业人员，证券业协会、证券监督管理机构及其工作人员，在证券交易活动中作出虚假陈述或者信息误导。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各种传播媒介传播证券市场信息必须真实、客观，禁止误导。传播媒介及其从事证券市场信息报道的工作人员不得从事与其工作职责发生利益冲突的证券买卖。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编造、传播虚假信息或者误导性信息，扰乱证券市场，给投资者造成损失的，应当依法承担赔偿责任。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第五十七条　禁止证券公司及其从业人员从事下列损害客户利益的行为：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（一）违背客户的委托为其买卖证券；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（二）不在规定时间内向客户提供交易的确认文件；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（三）未经客户的委托，擅自为客户买卖证券，或者假借客户的名义买卖证券；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（四）为牟取佣金收入，诱使客户进行不必要的证券买卖；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（五）其他违背客户真实意思表示，损害客户利益的行为。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违反前款规定给客户造成损失的，应当依法承担赔偿责任。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第五十八条　任何单位和个人不得违反规定，出借自己的证券账户或者借用他人的证券账户从事证券交易。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第五十九条　依法拓宽资金入市渠道，禁止资金违规流入股市。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禁止投资者违规利用财政资金、银行信贷资金买卖证券。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第六十条　国有独资企业、国有独资公司、国有资本控股公司买卖上市交易的股票，必须遵守国家有关规定。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第六十一条　证券交易场所、证券公司、证券登记结算机构、证券服务机构及其从业人员对证券交易中发现的禁止的交易行为，应当及时向证券监督管理机构报告。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第四章　上市公司的收购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第六十二条　投资者可以采取要约收购、协议收购及其他合法方式收购上市公司。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违反第一款、第二款规定买入上市公司有表决权的股份的，在买入后的三十六个月内，对该超过规定比例部分的股份不得行使表决权。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第六十四条　依照前条规定所作的公告，应当包括下列内容：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（一）持股人的名称、住所；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（二）持有的股票的名称、数额；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（三）持股达到法定比例或者持股增减变化达到法定比例的日期、增持股份的资金来源；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（四）在上市公司中拥有有表决权的股份变动的时间及方式。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收购上市公司部分股份的要约应当约定，被收购公司股东承诺出售的股份数额超过预定收购的股份数额的，收购人按比例进行收购。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第六十六条　依照前条规定发出收购要约，收购人必须公告上市公司收购报告书，并载明下列事项：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（一）收购人的名称、住所；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（二）收购人关于收购的决定；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（三）被收购的上市公司名称；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（四）收购目的；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（五）收购股份的详细名称和预定收购的股份数额；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（六）收购期限、收购价格；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（七）收购所需资金额及资金保证；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（八）公告上市公司收购报告书时持有被收购公司股份数占该公司已发行的股份总数的比例。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第六十七条　收购要约约定的收购期限不得少于三十日，并不得超过六十日。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第六十八条　在收购要约确定的承诺期限内，收购人不得撤销其收购要约。收购人需要变更收购要约的，应当及时公告，载明具体变更事项，且不得存在下列情形：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（一）降低收购价格；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（二）减少预定收购股份数额；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（三）缩短收购期限；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（四）国务院证券监督管理机构规定的其他情形。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第六十九条　收购要约提出的各项收购条件，适用于被收购公司的所有股东。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上市公司发行不同种类股份的，收购人可以针对不同种类股份提出不同的收购条件。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第七十条　采取要约收购方式的，收购人在收购期限内，不得卖出被收购公司的股票，也不得采取要约规定以外的形式和超出要约的条件买入被收购公司的股票。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第七十一条　采取协议收购方式的，收购人可以依照法律、行政法规的规定同被收购公司的股东以协议方式进行股份转让。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以协议方式收购上市公司时，达成协议后，收购人必须在三日内将该收购协议向国务院证券监督管理机构及证券交易所作出书面报告，并予公告。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在公告前不得履行收购协议。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第七十二条　采取协议收购方式的，协议双方可以临时委托证券登记结算机构保管协议转让的股票，并将资金存放于指定的银行。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第七十三条　采取协议收购方式的，收购人收购或者通过协议、其他安排与他人共同收购一个上市公司已发行的有表决权股份达到百分</w:t>
      </w:r>
      <w:r w:rsidRPr="00337E13">
        <w:rPr>
          <w:rFonts w:ascii="Helvetica" w:eastAsia="宋体" w:hAnsi="Helvetica" w:cs="Helvetica"/>
          <w:color w:val="404040"/>
          <w:kern w:val="0"/>
          <w:sz w:val="27"/>
          <w:szCs w:val="27"/>
        </w:rPr>
        <w:lastRenderedPageBreak/>
        <w:t>之三十时，继续进行收购的，应当依法向该上市公司所有股东发出收购上市公司全部或者部分股份的要约。但是，按照国务院证券监督管理机构的规定免除发出要约的除外。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收购人依照前款规定以要约方式收购上市公司股份，应当遵守本法第六十五条第二款、第六十六条至第七十条的规定。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收购行为完成后，被收购公司不再具备股份有限公司条件的，应当依法变更企业形式。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第七十五条　在上市公司收购中，收购人持有的被收购的上市公司的股票，在收购行为完成后的十八个月内不得转让。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第七十六条　收购行为完成后，收购人与被收购公司合并，并将该公司解散的，被解散公司的原有股票由收购人依法更换。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收购行为完成后，收购人应当在十五日内将收购情况报告国务院证券监督管理机构和证券交易所，并予公告。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第七十七条　国务院证券监督管理机构依照本法制定上市公司收购的具体办法。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上市公司分立或者被其他公司合并，应当向国务院证券监督管理机构报告，并予公告。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第五章　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第七十八条　发行人及法律、行政法规和国务院证券监督管理机构规定的其他信息披露义务人，应当及时依法履行信息披露义务。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信息披露义务人披露的信息，应当真实、准确、完整，简明清晰，通俗易懂，不得有虚假记载、误导性陈述或者重大遗漏。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证券同时在境内境外公开发行、交易的，其信息披露义务人在境外披露的信息，应当在境内同时披露。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（一）在每一会计年度结束之日起四个月内，报送并公告年度报告，其中的年度财务会计报告应当经符合本法规定的会计师事务所审计；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（二）在每一会计年度的上半年结束之日起二个月内，报送并公告中期报告。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第八十条　发生可能对上市公司、股票在国务院批准的其他全国性证券交易场所交易的公司的股票交易价格产生较大影响的重大事件，投</w:t>
      </w:r>
      <w:r w:rsidRPr="00337E13">
        <w:rPr>
          <w:rFonts w:ascii="Helvetica" w:eastAsia="宋体" w:hAnsi="Helvetica" w:cs="Helvetica"/>
          <w:color w:val="404040"/>
          <w:kern w:val="0"/>
          <w:sz w:val="27"/>
          <w:szCs w:val="27"/>
        </w:rPr>
        <w:lastRenderedPageBreak/>
        <w:t>资者尚未得知时，公司应当立即将有关该重大事件的情况向国务院证券监督管理机构和证券交易场所报送临时报告，并予公告，说明事件的起因、目前的状态和可能产生的法律后果。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前款所称重大事件包括：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（一）公司的经营方针和经营范围的重大变化；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（二）公司的重大投资行为，公司在一年内购买、出售重大资产超过公司资产总额百分之三十，或者公司营业用主要资产的抵押、质押、出售或者报废一次超过该资产的百分之三十；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（三）公司订立重要合同、提供重大担保或者从事关联交易，可能对公司的资产、负债、权益和经营成果产生重要影响；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（四）公司发生重大债务和未能清偿到期重大债务的违约情况；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（五）公司发生重大亏损或者重大损失；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（六）公司生产经营的外部条件发生的重大变化；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（七）公司的董事、三分之一以上监事或者经理发生变动，董事长或者经理无法履行职责；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（八）持有公司百分之五以上股份的股东或者实际控制人持有股份或者控制公司的情况发生较大变化，公司的实际控制人及其控制的其他企业从事与公司相同或者相似业务的情况发生较大变化；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（九）公司分配股利、增资的计划，公司股权结构的重要变化，公司减资、合并、分立、解散及申请破产的决定，或者依法进入破产程序、被责令关闭；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（十）涉及公司的重大诉讼、仲裁，股东大会、董事会决议被依法撤销或者宣告无效；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（十一）公司涉嫌犯罪被依法立案调查，公司的控股股东、实际控制人、董事、监事、高级管理人员涉嫌犯罪被依法采取强制措施；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（十二）国务院证券监督管理机构规定的其他事项。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公司的控股股东或者实际控制人对重大事件的发生、进展产生较大影响的，应当及时将其知悉的有关情况书面告知公司，并配合公司履行信息披露义务。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前款所称重大事件包括：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（一）公司股权结构或者生产经营状况发生重大变化；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（二）公司债券信用评级发生变化；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（三）公司重大资产抵押、质押、出售、转让、报废；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（四）公司发生未能清偿到期债务的情况；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（五）公司新增借款或者对外提供担保超过上年末净资产的百分之二十；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（六）公司放弃债权或者财产超过上年末净资产的百分之十；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（七）公司发生超过上年末净资产百分之十的重大损失；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（八）公司分配股利，作出减资、合并、分立、解散及申请破产的决定，或者依法进入破产程序、被责令关闭；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（九）涉及公司的重大诉讼、仲裁；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（十）公司涉嫌犯罪被依法立案调查，公司的控股股东、实际控制人、董事、监事、高级管理人员涉嫌犯罪被依法采取强制措施；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（十一）国务院证券监督管理机构规定的其他事项。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第八十二条　发行人的董事、高级管理人员应当对证券发行文件和定期报告签署书面确认意见。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发行人的监事会应当对董事会编制的证券发行文件和定期报告进行审核并提出书面审核意见。监事应当签署书面确认意见。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发行人的董事、监事和高级管理人员应当保证发行人及时、公平地披露信息，所披露的信息真实、准确、完整。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第八十三条　信息披露义务人披露的信息应当同时向所有投资者披露，不得提前向任何单位和个人泄露。但是，法律、行政法规另有规定的除外。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任何单位和个人不得非法要求信息披露义务人提供依法需要披露但尚未披露的信息。任何单位和个人提前获知的前述信息，在依法披露前应当保密。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第八十四条　除依法需要披露的信息之外，信息披露义务人可以自愿披露与投资者作出价值判断和投资决策有关的信息，但不得与依法披露的信息相冲突，不得误导投资者。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发行人及其控股股东、实际控制人、董事、监事、高级管理人员等作出公开承诺的，应当披露。不履行承诺给投资者造成损失的，应当依法承担赔偿责任。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w:t>
      </w:r>
      <w:r w:rsidRPr="00337E13">
        <w:rPr>
          <w:rFonts w:ascii="Helvetica" w:eastAsia="宋体" w:hAnsi="Helvetica" w:cs="Helvetica"/>
          <w:color w:val="404040"/>
          <w:kern w:val="0"/>
          <w:sz w:val="27"/>
          <w:szCs w:val="27"/>
        </w:rPr>
        <w:lastRenderedPageBreak/>
        <w:t>监事、高级管理人员和其他直接责任人员以及保荐人、承销的证券公司及其直接责任人员，应当与发行人承担连带赔偿责任，但是能够证明自己没有过错的除外。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第八十六条　依法披露的信息，应当在证券交易场所的网站和符合国务院证券监督管理机构规定条件的媒体发布，同时将其置备于公司住所、证券交易场所，供社会公众查阅。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第八十七条　国务院证券监督管理机构对信息披露义务人的信息披露行为进行监督管理。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证券交易场所应当对其组织交易的证券的信息披露义务人的信息披露行为进行监督，督促其依法及时、准确地披露信息。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第六章　投资者保护</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投资者在购买证券或者接受服务时，应当按照证券公司明示的要求提供前款所列真实信息。拒绝提供或者未按照要求提供信息的，证券公司应当告知其后果，并按照规定拒绝向其销售证券、提供服务。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证券公司违反第一款规定导致投资者损失的，应当承担相应的赔偿责任。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第八十九条　根据财产状况、金融资产状况、投资知识和经验、专业能力等因素，投资者可以分为普通投资者和专业投资者。专业投资者的标准由国务院证券监督管理机构规定。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普通投资者与证券公司发生纠纷的，证券公司应当证明其行为符合法律、行政法规以及国务院证券监督管理机构的规定，不存在误导、欺诈等情形。证券公司不能证明的，应当承担相应的赔偿责任。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依照前款规定征集股东权利的，征集人应当披露征集文件，上市公司应当予以配合。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禁止以有偿或者变相有偿的方式公开征集股东权利。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公开征集股东权利违反法律、行政法规或者国务院证券监督管理机构有关规定，导致上市公司或者其股东遭受损失的，应当依法承担赔偿责任。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第九十一条　上市公司应当在章程中明确分配现金股利的具体安排和决策程序，依法保障股东的资产收益权。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上市公司当年税后利润，在弥补亏损及提取法定公积金后有盈余的，应当按照公司章程的规定分配现金股利。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第九十二条　公开发行公司债券的，应当设立债券持有人会议，并应当在募集说明书中说明债券持有人会议的召集程序、会议规则和其他重要事项。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债券发行人未能按期兑付债券本息的，债券受托管理人可以接受全部或者部分债券持有人的委托，以自己名义代表债券持有人提起、参加民事诉讼或者清算程序。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第九十四条　投资者与发行人、证券公司等发生纠纷的，双方可以向投资者保护机构申请调解。普通投资者与证券公司发生证券业务纠纷，普通投资者提出调解请求的，证券公司不得拒绝。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投资者保护机构对损害投资者利益的行为，可以依法支持投资者向人民法院提起诉讼。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第九十五条　投资者提起虚假陈述等证券民事赔偿诉讼时，诉讼标的是同一种类，且当事人一方人数众多的，可以依法推选代表人进行诉讼。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投资者保护机构受五十名以上投资者委托，可以作为代表人参加诉讼，并为经证券登记结算机构确认的权利人依照前款规定向人民法院登记，但投资者明确表示不愿意参加该诉讼的除外。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w:t>
      </w:r>
      <w:r w:rsidRPr="00337E13">
        <w:rPr>
          <w:rFonts w:ascii="Helvetica" w:eastAsia="宋体" w:hAnsi="Helvetica" w:cs="Helvetica"/>
          <w:b/>
          <w:bCs/>
          <w:color w:val="000080"/>
          <w:kern w:val="0"/>
          <w:sz w:val="27"/>
        </w:rPr>
        <w:t>第七章　证券交易场所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第九十六条　证券交易所、国务院批准的其他全国性证券交易场所为证券集中交易提供场所和设施，组织和监督证券交易，实行自律管理，依法登记，取得法人资格。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证券交易所、国务院批准的其他全国性证券交易场所的设立、变更和解散由国务院决定。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国务院批准的其他全国性证券交易场所的组织机构、管理办法等，由国务院规定。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第九十七条　证券交易所、国务院批准的其他全国性证券交易场所可以根据证券品种、行业特点、公司规模等因素设立不同的市场层次。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第九十八条　按照国务院规定设立的区域性股权市场为非公开发行证券的发行、转让提供场所和设施，具体管理办法由国务院规定。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第九十九条　证券交易所履行自律管理职能，应当遵守社会公共利益优先原则，维护市场的公平、有序、透明。</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设立证券交易所必须制定章程。证券交易所章程的制定和修改，必须经国务院证券监督管理机构批准。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第一百条　证券交易所必须在其名称中标明证券交易所字样。其他任何单位或者个人不得使用证券交易所或者近似的名称。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第一百零一条　证券交易所可以自行支配的各项费用收入，应当首先用于保证其证券交易场所和设施的正常运行并逐步改善。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实行会员制的证券交易所的财产积累归会员所有，其权益由会员共同享有，在其存续期间，不得将其财产积累分配给会员。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第一百零二条　实行会员制的证券交易所设理事会、监事会。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证券交易所设总经理一人，由国务院证券监督管理机构任免。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第一百零三条　有《中华人民共和国公司法》第一百四十六条规定的情形或者下列情形之一的，不得担任证券交易所的负责人：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（一）因违法行为或者违纪行为被解除职务的证券交易场所、证券登记结算机构的负责人或者证券公司的董事、监事、高级管理人员，自被解除职务之日起未逾五年；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第一百零四条　因违法行为或者违纪行为被开除的证券交易场所、证券公司、证券登记结算机构、证券服务机构的从业人员和被开除的国家机关工作人员，不得招聘为证券交易所的从业人员。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第一百零五条　进入实行会员制的证券交易所参与集中交易的，必须是证券交易所的会员。证券交易所不得允许非会员直接参与股票的集中交易。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第一百零六条　投资者应当与证券公司签订证券交易委托协议，并在证券公司实名开立账户，以书面、电话、自助终端、网络等方式，委托该证券公司代其买卖证券。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第一百零七条　证券公司为投资者开立账户，应当按照规定对投资者提供的身份信息进行核对。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证券公司不得将投资者的账户提供给他人使用。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投资者应当使用实名开立的账户进行交易。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第一百零九条　证券交易所应当为组织公平的集中交易提供保障，实时公布证券交易即时行情，并按交易日制作证券市场行情表，予以公布。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证券交易即时行情的权益由证券交易所依法享有。未经证券交易所许可，任何单位和个人不得发布证券交易即时行情。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第一百一十条　上市公司可以向证券交易所申请其上市交易股票的停牌或者复牌，但不得滥用停牌或者复牌损害投资者的合法权益。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证券交易所可以按照业务规则的规定，决定上市交易股票的停牌或者复牌。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证券交易所对其依照本条规定采取措施造成的损失，不承担民事赔偿责任，但存在重大过错的除外。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第一百一十二条　证券交易所对证券交易实行实时监控，并按照国务院证券监督管理机构的要求，对异常的交易情况提出报告。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证券交易所根据需要，可以按照业务规则对出现重大异常交易情况的证券账户的投资者限制交易，并及时报告国务院证券监督管理机构。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第一百一十三条　证券交易所应当加强对证券交易的风险监测，出现重大异常波动的，证券交易所可以按照业务规则采取限制交易、强制</w:t>
      </w:r>
      <w:r w:rsidRPr="00337E13">
        <w:rPr>
          <w:rFonts w:ascii="Helvetica" w:eastAsia="宋体" w:hAnsi="Helvetica" w:cs="Helvetica"/>
          <w:color w:val="404040"/>
          <w:kern w:val="0"/>
          <w:sz w:val="27"/>
          <w:szCs w:val="27"/>
        </w:rPr>
        <w:lastRenderedPageBreak/>
        <w:t>停牌等处置措施，并向国务院证券监督管理机构报告；严重影响证券市场稳定的，证券交易所可以按照业务规则采取临时停市等处置措施并公告。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证券交易所对其依照本条规定采取措施造成的损失，不承担民事赔偿责任，但存在重大过错的除外。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第一百一十四条　证券交易所应当从其收取的交易费用和会员费、席位费中提取一定比例的金额设立风险基金。风险基金由证券交易所理事会管理。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风险基金提取的具体比例和使用办法，由国务院证券监督管理机构会同国务院财政部门规定。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证券交易所应当将收存的风险基金存入开户银行专门账户，不得擅自使用。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第一百一十五条　证券交易所依照法律、行政法规和国务院证券监督管理机构的规定，制定上市规则、交易规则、会员管理规则和其他有关业务规则，并报国务院证券监督管理机构批准。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在证券交易所从事证券交易，应当遵守证券交易所依法制定的业务规则。违反业务规则的，由证券交易所给予纪律处分或者采取其他自律管理措施。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第一百一十六条　证券交易所的负责人和其他从业人员执行与证券交易有关的职务时，与其本人或者其亲属有利害关系的，应当回避。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第八章　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第一百一十八条　设立证券公司，应当具备下列条件，并经国务院证券监督管理机构批准：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（一）有符合法律、行政法规规定的公司章程；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（二）主要股东及公司的实际控制人具有良好的财务状况和诚信记录，最近三年无重大违法违规记录；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（三）有符合本法规定的公司注册资本；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（四）董事、监事、高级管理人员、从业人员符合本法规定的条件；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（五）有完善的风险管理与内部控制制度；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（六）有合格的经营场所、业务设施和信息技术系统；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（七）法律、行政法规和经国务院批准的国务院证券监督管理机构规定的其他条件。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未经国务院证券监督管理机构批准，任何单位和个人不得以证券公司名义开展证券业务活动。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第一百一十九条　国务院证券监督管理机构应当自受理证券公司设立申请之日起六个月内，依照法定条件和法定程序并根据审慎监管原则进行审查，作出批准或者不予批准的决定，并通知申请人；不予批准的，应当说明理由。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证券公司设立申请获得批准的，申请人应当在规定的期限内向公司登记机关申请设立登记，领取营业执照。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证券公司应当自领取营业执照之日起十五日内，向国务院证券监督管理机构申请经营证券业务许可证。未取得经营证券业务许可证，证券公司不得经营证券业务。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第一百二十条　经国务院证券监督管理机构核准，取得经营证券业务许可证，证券公司可以经营下列部分或者全部证券业务：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（一）证券经纪；</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（二）证券投资咨询；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（三）与证券交易、证券投资活动有关的财务顾问；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（四）证券承销与保荐；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（五）证券融资融券；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（六）证券做市交易；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（七）证券自营；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（八）其他证券业务。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国务院证券监督管理机构应当自受理前款规定事项申请之日起三个月内，依照法定条件和程序进行审查，作出核准或者不予核准的决定，并通知申请人；不予核准的，应当说明理由。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证券公司经营证券资产管理业务的，应当符合《中华人民共和国证券投资基金法》等法律、行政法规的规定。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除证券公司外，任何单位和个人不得从事证券承销、证券保荐、证券经纪和证券融资融券业务。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证券公司从事证券融资融券业务，应当采取措施，严格防范和控制风险，不得违反规定向客户出借资金或者证券。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国务院证券监督管理机构根据审慎监管原则和各项业务的风险程度，可以调整注册资本最低限额，但不得少于前款规定的限额。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第一百二十二条　证券公司变更证券业务范围，变更主要股东或者公司的实际控制人，合并、分立、停业、解散、破产，应当经国务院证券监督管理机构核准。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第一百二十三条　国务院证券监督管理机构应当对证券公司净资本和其他风险控制指标作出规定。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证券公司除依照规定为其客户提供融资融券外，不得为其股东或者股东的关联人提供融资或者担保。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有《中华人民共和国公司法》第一百四十六条规定的情形或者下列情形之一的，不得担任证券公司的董事、监事、高级管理人员：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（一）因违法行为或者违纪行为被解除职务的证券交易场所、证券登记结算机构的负责人或者证券公司的董事、监事、高级管理人员，自被解除职务之日起未逾五年；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第一百二十五条　证券公司从事证券业务的人员应当品行良好，具备从事证券业务所需的专业能力。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因违法行为或者违纪行为被开除的证券交易场所、证券公司、证券登记结算机构、证券服务机构的从业人员和被开除的国家机关工作人员，不得招聘为证券公司的从业人员。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国家机关工作人员和法律、行政法规规定的禁止在公司中兼职的其他人员，不得在证券公司中兼任职务。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第一百二十六条　国家设立证券投资者保护基金。证券投资者保护基金由证券公司缴纳的资金及其他依法筹集的资金组成，其规模以及筹集、管理和使用的具体办法由国务院规定。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第一百二十七条　证券公司从每年的业务收入中提取交易风险准备金，用于弥补证券经营的损失，其提取的具体比例由国务院证券监督管理机构会同国务院财政部门规定。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第一百二十八条　证券公司应当建立健全内部控制制度，采取有效隔离措施，防范公司与客户之间、不同客户之间的利益冲突。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证券公司必须将其证券经纪业务、证券承销业务、证券自营业务、证券做市业务和证券资产管理业务分开办理，不得混合操作。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第一百二十九条　证券公司的自营业务必须以自己的名义进行，不得假借他人名义或者以个人名义进行。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证券公司的自营业务必须使用自有资金和依法筹集的资金。</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证券公司不得将其自营账户借给他人使用。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第一百三十条　证券公司应当依法审慎经营，勤勉尽责，诚实守信。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证券公司的业务活动，应当与其治理结构、内部控制、合规管理、风险管理以及风险控制指标、从业人员构成等情况相适应，符合审慎监管和保护投资者合法权益的要求。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证券公司依法享有自主经营的权利，其合法经营不受干涉。</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第一百三十一条　证券公司客户的交易结算资金应当存放在商业银行，以每个客户的名义单独立户管理。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第一百三十二条　证券公司办理经纪业务，应当置备统一制定的证券买卖委托书，供委托人使用。采取其他委托方式的，必须作出委托记录。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客户的证券买卖委托，不论是否成交，其委托记录应当按照规定的期限，保存于证券公司。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第一百三十三条　证券公司接受证券买卖的委托，应当根据委托书载明的证券名称、买卖数量、出价方式、价格幅度等，按照交易规则代</w:t>
      </w:r>
      <w:r w:rsidRPr="00337E13">
        <w:rPr>
          <w:rFonts w:ascii="Helvetica" w:eastAsia="宋体" w:hAnsi="Helvetica" w:cs="Helvetica"/>
          <w:color w:val="404040"/>
          <w:kern w:val="0"/>
          <w:sz w:val="27"/>
          <w:szCs w:val="27"/>
        </w:rPr>
        <w:lastRenderedPageBreak/>
        <w:t>理买卖证券，如实进行交易记录；买卖成交后，应当按照规定制作买卖成交报告单交付客户。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证券交易中确认交易行为及其交易结果的对账单必须真实，保证账面证券余额与实际持有的证券相一致。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第一百三十四条　证券公司办理经纪业务，不得接受客户的全权委托而决定证券买卖、选择证券种类、决定买卖数量或者买卖价格。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证券公司不得允许他人以证券公司的名义直接参与证券的集中交易。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第一百三十五条　证券公司不得对客户证券买卖的收益或者赔偿证券买卖的损失作出承诺。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第一百三十六条　证券公司的从业人员在证券交易活动中，执行所属的证券公司的指令或者利用职务违反交易规则的，由所属的证券公司承担全部责任。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证券公司的从业人员不得私下接受客户委托买卖证券。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第一百三十七条　证券公司应当建立客户信息查询制度，确保客户能够查询其账户信息、委托记录、交易记录以及其他与接受服务或者购买产品有关的重要信息。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证券公司应当妥善保存客户开户资料、委托记录、交易记录和与内部管理、业务经营有关的各项信息，任何人不得隐匿、伪造、篡改或者毁损。上述信息的保存期限不得少于二十年。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证券公司及其主要股东、实际控制人向国务院证券监督管理机构报送或者提供的信息、资料，必须真实、准确、完整。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第一百四十条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（一）限制业务活动，责令暂停部分业务，停止核准新业务；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（二）限制分配红利，限制向董事、监事、高级管理人员支付报酬、提供福利；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（三）限制转让财产或者在财产上设定其他权利；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（四）责令更换董事、监事、高级管理人员或者限制其权利；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（五）撤销有关业务许可；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（六）认定负有责任的董事、监事、高级管理人员为不适当人选；</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（七）责令负有责任的股东转让股权，限制负有责任的股东行使股东权利。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第一百四十一条　证券公司的股东有虚假出资、抽逃出资行为的，国务院证券监督管理机构应当责令其限期改正，并可责令其转让所持证券公司的股权。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在前款规定的股东按照要求改正违法行为、转让所持证券公司的股权前，国务院证券监督管理机构可以限制其股东权利。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第一百四十二条　证券公司的董事、监事、高级管理人员未能勤勉尽责，致使证券公司存在重大违法违规行为或者重大风险的，国务院证券监督管理机构可以责令证券公司予以更换。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（一）通知出境入境管理机关依法阻止其出境；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（二）申请司法机关禁止其转移、转让或者以其他方式处分财产，或者在财产上设定其他权利。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第九章　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第一百四十五条　证券登记结算机构为证券交易提供集中登记、存管与结算服务，不以营利为目的，依法登记，取得法人资格。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设立证券登记结算机构必须经国务院证券监督管理机构批准。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第一百四十六条　设立证券登记结算机构，应当具备下列条件：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（一）自有资金不少于人民币二亿元；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（二）具有证券登记、存管和结算服务所必须的场所和设施；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证券登记结算机构的名称中应当标明证券登记结算字样。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第一百四十七条　证券登记结算机构履行下列职能：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（一）证券账户、结算账户的设立；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（二）证券的存管和过户；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（三）证券持有人名册登记；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（四）证券交易的清算和交收；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（五）受发行人的委托派发证券权益；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（六）办理与上述业务有关的查询、信息服务；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（七）国务院证券监督管理机构批准的其他业务。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第一百四十八条　在证券交易所和国务院批准的其他全国性证券交易场所交易的证券的登记结算，应当采取全国集中统一的运营方式。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前款规定以外的证券，其登记、结算可以委托证券登记结算机构或者其他依法从事证券登记、结算业务的机构办理。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第一百四十九条　证券登记结算机构应当依法制定章程和业务规则，并经国务院证券监督管理机构批准。证券登记结算业务参与人应当遵守证券登记结算机构制定的业务规则。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第一百五十条　在证券交易所或者国务院批准的其他全国性证券交易场所交易的证券，应当全部存管在证券登记结算机构。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证券登记结算机构不得挪用客户的证券。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第一百五十一条　证券登记结算机构应当向证券发行人提供证券持有人名册及有关资料。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证券登记结算机构应当根据证券登记结算的结果，确认证券持有人持有证券的事实，提供证券持有人登记资料。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证券登记结算机构应当保证证券持有人名册和登记过户记录真实、准确、完整，不得隐匿、伪造、篡改或者毁损。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第一百五十二条　证券登记结算机构应当采取下列措施保证业务的正常进行：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（一）具有必备的服务设备和完善的数据安全保护措施；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（二）建立完善的业务、财务和安全防范等管理制度；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（三）建立完善的风险管理系统。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第一百五十三条　证券登记结算机构应当妥善保存登记、存管和结算的原始凭证及有关文件和资料。其保存期限不得少于二十年。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第一百五十四条　证券登记结算机构应当设立证券结算风险基金，用于垫付或者弥补因违约交收、技术故障、操作失误、不可抗力造成的证券登记结算机构的损失。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证券结算风险基金从证券登记结算机构的业务收入和收益中提取，并可以由结算参与人按照证券交易业务量的一定比例缴纳。</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证券结算风险基金的筹集、管理办法，由国务院证券监督管理机构会同国务院财政部门规定。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第一百五十五条　证券结算风险基金应当存入指定银行的专门账户，实行专项管理。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证券登记结算机构以证券结算风险基金赔偿后，应当向有关责任人追偿。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第一百五十六条　证券登记结算机构申请解散，应当经国务院证券监督管理机构批准。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第一百五十七条　投资者委托证券公司进行证券交易，应当通过证券公司申请在证券登记结算机构开立证券账户。证券登记结算机构应当按照规定为投资者开立证券账户。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投资者申请开立账户，应当持有证明中华人民共和国公民、法人、合伙企业身份的合法证件。国家另有规定的除外。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第一百五十八条　证券登记结算机构作为中央对手方提供证券结算服务的，是结算参与人共同的清算交收对手，进行净额结算，为证券交易提供集中履约保障。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证券登记结算机构为证券交易提供净额结算服务时，应当要求结算参与人按照货银对付的原则，足额交付证券和资金，并提供交收担保。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在交收完成之前，任何人不得动用用于交收的证券、资金和担保物。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结算参与人未按时履行交收义务的，证券登记结算机构有权按照业务规则处理前款所述财产。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第一百五十九条　证券登记结算机构按照业务规则收取的各类结算资金和证券，必须存放于专门的清算交收账户，只能按业务规则用于已成交的证券交易的清算交收，不得被强制执行。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第十章　证券服务机构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从事证券投资咨询服务业务，应当经国务院证券监督管理机构核准；未经核准，不得为证券的交易及相关活动提供服务。从事其他证券服务业务，应当报国务院证券监督管理机构和国务院有关主管部门备案。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第一百六十一条　证券投资咨询机构及其从业人员从事证券服务业务不得有下列行为：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（一）代理委托人从事证券投资；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（二）与委托人约定分享证券投资收益或者分担证券投资损失；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（三）买卖本证券投资咨询机构提供服务的证券；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（四）法律、行政法规禁止的其他行为。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有前款所列行为之一，给投资者造成损失的，应当依法承担赔偿责任。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第一百六十三条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第十一章　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第一百六十四条　证券业协会是证券业的自律性组织，是社会团体法人。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证券公司应当加入证券业协会。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证券业协会的权力机构为全体会员组成的会员大会。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第一百六十五条　证券业协会章程由会员大会制定，并报国务院证券监督管理机构备案。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第一百六十六条　证券业协会履行下列职责：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（一）教育和组织会员及其从业人员遵守证券法律、行政法规，组织开展证券行业诚信建设，督促证券行业履行社会责任；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（二）依法维护会员的合法权益，向证券监督管理机构反映会员的建议和要求；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（三）督促会员开展投资者教育和保护活动，维护投资者合法权益；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（四）制定和实施证券行业自律规则，监督、检查会员及其从业人员行为，对违反法律、行政法规、自律规则或者协会章程的，按照规定给予纪律处分或者实施其他自律管理措施；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（五）制定证券行业业务规范，组织从业人员的业务培训；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（六）组织会员就证券行业的发展、运作及有关内容进行研究，收集整理、发布证券相关信息，提供会员服务，组织行业交流，引导行业创新发展；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（七）对会员之间、会员与客户之间发生的证券业务纠纷进行调解；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（八）证券业协会章程规定的其他职责。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第一百六十七条　证券业协会设理事会。理事会成员依章程的规定由选举产生。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第十二章　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第一百六十八条　国务院证券监督管理机构依法对证券市场实行监督管理，维护证券市场公开、公平、公正，防范系统性风险，维护投资者合法权益，促进证券市场健康发展。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第一百六十九条　国务院证券监督管理机构在对证券市场实施监督管理中履行下列职责：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（一）依法制定有关证券市场监督管理的规章、规则，并依法进行审批、核准、注册，办理备案；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（二）依法对证券的发行、上市、交易、登记、存管、结算等行为，进行监督管理；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（三）依法对证券发行人、证券公司、证券服务机构、证券交易场所、证券登记结算机构的证券业务活动，进行监督管理；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（四）依法制定从事证券业务人员的行为准则，并监督实施；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（五）依法监督检查证券发行、上市、交易的信息披露；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（六）依法对证券业协会的自律管理活动进行指导和监督；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（七）依法监测并防范、处置证券市场风险；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（八）依法开展投资者教育；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（九）依法对证券违法行为进行查处；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（十）法律、行政法规规定的其他职责。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第一百七十条　国务院证券监督管理机构依法履行职责，有权采取下列措施：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（一）对证券发行人、证券公司、证券服务机构、证券交易场所、证券登记结算机构进行现场检查；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（二）进入涉嫌违法行为发生场所调查取证；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（三）询问当事人和与被调查事件有关的单位和个人，要求其对与被调查事件有关的事项作出说明；或者要求其按照指定的方式报送与被调查事件有关的文件和资料；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（四）查阅、复制与被调查事件有关的财产权登记、通讯记录等文件和资料；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（五）查阅、复制当事人和与被调查事件有关的单位和个人的证券交易记录、登记过户记录、财务会计资料及其他相关文件和资料；对可能被转移、隐匿或者毁损的文件和资料，可以予以封存、扣押；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（八）通知出境入境管理机关依法阻止涉嫌违法人员、涉嫌违法单位的主管人员和其他直接责任人员出境。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为防范证券市场风险，维护市场秩序，国务院证券监督管理机构可以采取责令改正、监管谈话、出具警示函等措施。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第一百七十一条　国务院证券监督管理机构对涉嫌证券违法的单位或者个人进行调查期间，被调查的当事人书面申请，承诺在国务院证</w:t>
      </w:r>
      <w:r w:rsidRPr="00337E13">
        <w:rPr>
          <w:rFonts w:ascii="Helvetica" w:eastAsia="宋体" w:hAnsi="Helvetica" w:cs="Helvetica"/>
          <w:color w:val="404040"/>
          <w:kern w:val="0"/>
          <w:sz w:val="27"/>
          <w:szCs w:val="27"/>
        </w:rPr>
        <w:lastRenderedPageBreak/>
        <w:t>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国务院证券监督管理机构决定中止或者终止调查的，应当按照规定公开相关信息。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第一百七十三条　国务院证券监督管理机构依法履行职责，被检查、调查的单位和个人应当配合，如实提供有关文件和资料，不得拒绝、阻碍和隐瞒。</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第一百七十四条　国务院证券监督管理机构制定的规章、规则和监督管理工作制度应当依法公开。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国务院证券监督管理机构依据调查结果，对证券违法行为作出的处罚决定，应当公开。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第一百七十五条　国务院证券监督管理机构应当与国务院其他金融监督管理机构建立监督管理信息共享机制。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国务院证券监督管理机构依法履行职责，进行监督检查或者调查时，有关部门应当予以配合。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第一百七十六条　对涉嫌证券违法、违规行为，任何单位和个人有权向国务院证券监督管理机构举报。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对涉嫌重大违法、违规行为的实名举报线索经查证属实的，国务院证券监督管理机构按照规定给予举报人奖励。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国务院证券监督管理机构应当对举报人的身份信息保密。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第一百七十七条　国务院证券监督管理机构可以和其他国家或者地区的证券监督管理机构建立监督管理合作机制，实施跨境监督管理。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第一百七十八条　国务院证券监督管理机构依法履行职责，发现证券违法行为涉嫌犯罪的，应当依法将案件移送司法机关处理；发现公职人员涉嫌职务违法或者职务犯罪的，应当依法移送监察机关处理。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第一百七十九条　国务院证券监督管理机构工作人员必须忠于职守、依法办事、公正廉洁，不得利用职务便利牟取不正当利益，不得泄露所知悉的有关单位和个人的商业秘密。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第十三章　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第一百八十四条　证券公司承销证券违反本法第二十九条规定的，责令改正，给予警告，没收违法所得，可以并处五十万元以上五百万元</w:t>
      </w:r>
      <w:r w:rsidRPr="00337E13">
        <w:rPr>
          <w:rFonts w:ascii="Helvetica" w:eastAsia="宋体" w:hAnsi="Helvetica" w:cs="Helvetica"/>
          <w:color w:val="404040"/>
          <w:kern w:val="0"/>
          <w:sz w:val="27"/>
          <w:szCs w:val="27"/>
        </w:rPr>
        <w:lastRenderedPageBreak/>
        <w:t>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第一百八十八条　证券服务机构及其从业人员，违反本法第四十二条的规定买卖证券的，责令依法处理非法持有的证券，没收违法所得，并处以买卖证券等值以下的罚款。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违反本法第五十四条的规定，利用未公开信息进行交易的，依照前款的规定处罚。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违反本法第五十六条第二款的规定，在证券交易活动中作出虚假陈述或者信息误导的，责令改正，处以二十万元以上二百万元以下的罚款；属于国家工作人员的，还应当依法给予处分。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传播媒介及其从事证券市场信息报道的工作人员违反本法第五十六条第三款的规定，从事与其工作职责发生利益冲突的证券买卖的，没收违法所得，并处以买卖证券等值以下的罚款。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第一百九十五条　违反本法第五十八条的规定，出借自己的证券账户或者借用他人的证券账户从事证券交易的，责令改正，给予警告，可以处五十万元以下的罚款。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收购人及其控股股东、实际控制人利用上市公司收购，给被收购公司及其股东造成损失的，应当依法承担赔偿责任。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w:t>
      </w:r>
      <w:r w:rsidRPr="00337E13">
        <w:rPr>
          <w:rFonts w:ascii="Helvetica" w:eastAsia="宋体" w:hAnsi="Helvetica" w:cs="Helvetica"/>
          <w:color w:val="404040"/>
          <w:kern w:val="0"/>
          <w:sz w:val="27"/>
          <w:szCs w:val="27"/>
        </w:rPr>
        <w:lastRenderedPageBreak/>
        <w:t>形的，处以一百万元以上一千万元以下的罚款；对直接负责的主管人员和其他直接责任人员，处以五十万元以上五百万元以下的罚款。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第一百九十九条　违反本法第九十条的规定征集股东权利的，责令改正，给予警告，可以处五十万元以下的罚款。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证券交易所违反本法第一百零五条的规定，允许非会员直接参与股票的集中交易的，责令改正，可以并处五十万元以下的罚款。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第二百零四条　证券公司违反本法第一百二十二条的规定，未经核准变更证券业务范围，变更主要股东或者公司的实际控制人，合并、分</w:t>
      </w:r>
      <w:r w:rsidRPr="00337E13">
        <w:rPr>
          <w:rFonts w:ascii="Helvetica" w:eastAsia="宋体" w:hAnsi="Helvetica" w:cs="Helvetica"/>
          <w:color w:val="404040"/>
          <w:kern w:val="0"/>
          <w:sz w:val="27"/>
          <w:szCs w:val="27"/>
        </w:rPr>
        <w:lastRenderedPageBreak/>
        <w:t>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第二百零七条　证券公司违反本法第一百二十九条的规定从事证券自营业务的，责令改正，给予警告，没收违法所得，并处以违法所得一倍以上十倍以下的罚款；没有违法所得或者违法所得不足五十万元的，</w:t>
      </w:r>
      <w:r w:rsidRPr="00337E13">
        <w:rPr>
          <w:rFonts w:ascii="Helvetica" w:eastAsia="宋体" w:hAnsi="Helvetica" w:cs="Helvetica"/>
          <w:color w:val="404040"/>
          <w:kern w:val="0"/>
          <w:sz w:val="27"/>
          <w:szCs w:val="27"/>
        </w:rPr>
        <w:lastRenderedPageBreak/>
        <w:t>处以五十万元以上五百万元以下的罚款；情节严重的，并处撤销相关业务许可或者责令关闭。对直接负责的主管人员和其他直接责任人员给予警告，并处以二十万元以上二百万元以下的罚款。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第二百零九条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证券公司违反本法第一百三十四条第二款的规定，允许他人以证券公司的名义直接参与证券的集中交易的，责令改正，可以并处五十万元以下的罚款。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w:t>
      </w:r>
      <w:r w:rsidRPr="00337E13">
        <w:rPr>
          <w:rFonts w:ascii="Helvetica" w:eastAsia="宋体" w:hAnsi="Helvetica" w:cs="Helvetica"/>
          <w:color w:val="404040"/>
          <w:kern w:val="0"/>
          <w:sz w:val="27"/>
          <w:szCs w:val="27"/>
        </w:rPr>
        <w:lastRenderedPageBreak/>
        <w:t>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会计师事务所、律师事务所以及从事资产评估、资信评级、财务顾问、信息技术系统服务的机构违反本法第一百六十条第二款的规定，从事证券服务业务未报备案的，责令改正，可以处二十万元以下的罚款。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第二百一十五条　国务院证券监督管理机构依法将有关市场主体遵守本法的情况纳入证券市场诚信档案。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第二百一十六条　国务院证券监督管理机构或者国务院授权的部门有下列情形之一的，对直接负责的主管人员和其他直接责任人员，依法给予处分：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（一）对不符合本法规定的发行证券、设立证券公司等申请予以核准、注册、批准的；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（二）违反本法规定采取现场检查、调查取证、查询、冻结或者查封等措施的；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（三）违反本法规定对有关机构和人员采取监督管理措施的；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（四）违反本法规定对有关机构和人员实施行政处罚的；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（五）其他不依法履行职责的行为。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第二百一十八条　拒绝、阻碍证券监督管理机构及其工作人员依法行使监督检查、调查职权，由证券监督管理机构责令改正，处以十万元以上一百万元以下的罚款，并由公安机关依法给予治安管理处罚。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第二百一十九条　违反本法规定，构成犯罪的，依法追究刑事责任。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第二百二十条　违反本法规定，应当承担民事赔偿责任和缴纳罚款、罚金、违法所得，违法行为人的财产不足以支付的，优先用于承担民事赔偿责任。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第二百二十一条　违反法律、行政法规或者国务院证券监督管理机构的有关规定，情节严重的，国务院证券监督管理机构可以对有关责任人员采取证券市场禁入的措施。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第二百二十二条　依照本法收缴的罚款和没收的违法所得，全部上缴国库。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第二百二十三条　当事人对证券监督管理机构或者国务院授权的部门的处罚决定不服的，可以依法申请行政复议，或者依法直接向人民法院提起诉讼。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第十四章　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第二百二十四条　境内企业直接或者间接到境外发行证券或者将其证券在境外上市交易，应当符合国务院的有关规定。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第二百二十五条　境内公司股票以外币认购和交易的，具体办法由国务院另行规定。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第二百二十六条　本法自</w:t>
      </w:r>
      <w:r w:rsidRPr="00337E13">
        <w:rPr>
          <w:rFonts w:ascii="Helvetica" w:eastAsia="宋体" w:hAnsi="Helvetica" w:cs="Helvetica"/>
          <w:color w:val="404040"/>
          <w:kern w:val="0"/>
          <w:sz w:val="27"/>
          <w:szCs w:val="27"/>
        </w:rPr>
        <w:t>2020</w:t>
      </w:r>
      <w:r w:rsidRPr="00337E13">
        <w:rPr>
          <w:rFonts w:ascii="Helvetica" w:eastAsia="宋体" w:hAnsi="Helvetica" w:cs="Helvetica"/>
          <w:color w:val="404040"/>
          <w:kern w:val="0"/>
          <w:sz w:val="27"/>
          <w:szCs w:val="27"/>
        </w:rPr>
        <w:t>年</w:t>
      </w:r>
      <w:r w:rsidRPr="00337E13">
        <w:rPr>
          <w:rFonts w:ascii="Helvetica" w:eastAsia="宋体" w:hAnsi="Helvetica" w:cs="Helvetica"/>
          <w:color w:val="404040"/>
          <w:kern w:val="0"/>
          <w:sz w:val="27"/>
          <w:szCs w:val="27"/>
        </w:rPr>
        <w:t>3</w:t>
      </w:r>
      <w:r w:rsidRPr="00337E13">
        <w:rPr>
          <w:rFonts w:ascii="Helvetica" w:eastAsia="宋体" w:hAnsi="Helvetica" w:cs="Helvetica"/>
          <w:color w:val="404040"/>
          <w:kern w:val="0"/>
          <w:sz w:val="27"/>
          <w:szCs w:val="27"/>
        </w:rPr>
        <w:t>月</w:t>
      </w:r>
      <w:r w:rsidRPr="00337E13">
        <w:rPr>
          <w:rFonts w:ascii="Helvetica" w:eastAsia="宋体" w:hAnsi="Helvetica" w:cs="Helvetica"/>
          <w:color w:val="404040"/>
          <w:kern w:val="0"/>
          <w:sz w:val="27"/>
          <w:szCs w:val="27"/>
        </w:rPr>
        <w:t>1</w:t>
      </w:r>
      <w:r w:rsidRPr="00337E13">
        <w:rPr>
          <w:rFonts w:ascii="Helvetica" w:eastAsia="宋体" w:hAnsi="Helvetica" w:cs="Helvetica"/>
          <w:color w:val="404040"/>
          <w:kern w:val="0"/>
          <w:sz w:val="27"/>
          <w:szCs w:val="27"/>
        </w:rPr>
        <w:t>日起施行。</w:t>
      </w:r>
    </w:p>
    <w:p w:rsidR="00337E13" w:rsidRPr="00337E13" w:rsidRDefault="00337E13" w:rsidP="00337E13">
      <w:pPr>
        <w:widowControl/>
        <w:ind w:firstLineChars="0" w:firstLine="420"/>
        <w:jc w:val="left"/>
        <w:rPr>
          <w:rFonts w:ascii="Helvetica" w:eastAsia="宋体" w:hAnsi="Helvetica" w:cs="Helvetica"/>
          <w:color w:val="404040"/>
          <w:kern w:val="0"/>
          <w:sz w:val="27"/>
          <w:szCs w:val="27"/>
        </w:rPr>
      </w:pPr>
      <w:r w:rsidRPr="00337E13">
        <w:rPr>
          <w:rFonts w:ascii="Helvetica" w:eastAsia="宋体" w:hAnsi="Helvetica" w:cs="Helvetica"/>
          <w:color w:val="FFFFFF"/>
          <w:kern w:val="0"/>
          <w:sz w:val="21"/>
        </w:rPr>
        <w:t>图集</w:t>
      </w:r>
    </w:p>
    <w:p w:rsidR="00590732" w:rsidRDefault="00590732" w:rsidP="000B06EF">
      <w:pPr>
        <w:ind w:firstLine="600"/>
      </w:pPr>
    </w:p>
    <w:sectPr w:rsidR="00590732" w:rsidSect="0059073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B07" w:rsidRDefault="003D1B07" w:rsidP="003D1B07">
      <w:pPr>
        <w:ind w:firstLine="600"/>
      </w:pPr>
      <w:r>
        <w:separator/>
      </w:r>
    </w:p>
  </w:endnote>
  <w:endnote w:type="continuationSeparator" w:id="0">
    <w:p w:rsidR="003D1B07" w:rsidRDefault="003D1B07" w:rsidP="003D1B07">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07" w:rsidRDefault="003D1B07" w:rsidP="003D1B07">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4172"/>
      <w:docPartObj>
        <w:docPartGallery w:val="Page Numbers (Bottom of Page)"/>
        <w:docPartUnique/>
      </w:docPartObj>
    </w:sdtPr>
    <w:sdtContent>
      <w:sdt>
        <w:sdtPr>
          <w:id w:val="171357217"/>
          <w:docPartObj>
            <w:docPartGallery w:val="Page Numbers (Top of Page)"/>
            <w:docPartUnique/>
          </w:docPartObj>
        </w:sdtPr>
        <w:sdtContent>
          <w:p w:rsidR="003D1B07" w:rsidRDefault="003D1B07" w:rsidP="003D1B07">
            <w:pPr>
              <w:pStyle w:val="a6"/>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75</w:t>
            </w:r>
            <w:r>
              <w:rPr>
                <w:b/>
                <w:sz w:val="24"/>
                <w:szCs w:val="24"/>
              </w:rPr>
              <w:fldChar w:fldCharType="end"/>
            </w:r>
          </w:p>
        </w:sdtContent>
      </w:sdt>
    </w:sdtContent>
  </w:sdt>
  <w:p w:rsidR="003D1B07" w:rsidRDefault="003D1B07" w:rsidP="003D1B07">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07" w:rsidRDefault="003D1B07" w:rsidP="003D1B07">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B07" w:rsidRDefault="003D1B07" w:rsidP="003D1B07">
      <w:pPr>
        <w:ind w:firstLine="600"/>
      </w:pPr>
      <w:r>
        <w:separator/>
      </w:r>
    </w:p>
  </w:footnote>
  <w:footnote w:type="continuationSeparator" w:id="0">
    <w:p w:rsidR="003D1B07" w:rsidRDefault="003D1B07" w:rsidP="003D1B07">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07" w:rsidRDefault="003D1B07" w:rsidP="003D1B07">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07" w:rsidRDefault="003D1B07" w:rsidP="003D1B07">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07" w:rsidRDefault="003D1B07" w:rsidP="003D1B07">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E13"/>
    <w:rsid w:val="00053441"/>
    <w:rsid w:val="000B06EF"/>
    <w:rsid w:val="00121230"/>
    <w:rsid w:val="00337E13"/>
    <w:rsid w:val="003D1B07"/>
    <w:rsid w:val="004B5659"/>
    <w:rsid w:val="00590732"/>
    <w:rsid w:val="007C41BC"/>
    <w:rsid w:val="00901F76"/>
    <w:rsid w:val="00A7146A"/>
    <w:rsid w:val="00AA5939"/>
    <w:rsid w:val="00D76046"/>
    <w:rsid w:val="00D80178"/>
    <w:rsid w:val="00EB7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41"/>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D80178"/>
    <w:pPr>
      <w:keepNext/>
      <w:keepLines/>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178"/>
    <w:rPr>
      <w:rFonts w:ascii="Times New Roman" w:eastAsia="仿宋_GB2312" w:hAnsi="Times New Roman"/>
      <w:b/>
      <w:bCs/>
      <w:kern w:val="44"/>
      <w:sz w:val="32"/>
      <w:szCs w:val="44"/>
    </w:rPr>
  </w:style>
  <w:style w:type="paragraph" w:styleId="a3">
    <w:name w:val="Normal (Web)"/>
    <w:basedOn w:val="a"/>
    <w:uiPriority w:val="99"/>
    <w:semiHidden/>
    <w:unhideWhenUsed/>
    <w:rsid w:val="00337E13"/>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337E13"/>
    <w:rPr>
      <w:b/>
      <w:bCs/>
    </w:rPr>
  </w:style>
  <w:style w:type="character" w:customStyle="1" w:styleId="tj">
    <w:name w:val="tj"/>
    <w:basedOn w:val="a0"/>
    <w:rsid w:val="00337E13"/>
  </w:style>
  <w:style w:type="paragraph" w:styleId="a5">
    <w:name w:val="header"/>
    <w:basedOn w:val="a"/>
    <w:link w:val="Char"/>
    <w:uiPriority w:val="99"/>
    <w:semiHidden/>
    <w:unhideWhenUsed/>
    <w:rsid w:val="003D1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D1B07"/>
    <w:rPr>
      <w:rFonts w:ascii="Times New Roman" w:eastAsia="仿宋_GB2312" w:hAnsi="Times New Roman"/>
      <w:sz w:val="18"/>
      <w:szCs w:val="18"/>
    </w:rPr>
  </w:style>
  <w:style w:type="paragraph" w:styleId="a6">
    <w:name w:val="footer"/>
    <w:basedOn w:val="a"/>
    <w:link w:val="Char0"/>
    <w:uiPriority w:val="99"/>
    <w:unhideWhenUsed/>
    <w:rsid w:val="003D1B07"/>
    <w:pPr>
      <w:tabs>
        <w:tab w:val="center" w:pos="4153"/>
        <w:tab w:val="right" w:pos="8306"/>
      </w:tabs>
      <w:snapToGrid w:val="0"/>
      <w:jc w:val="left"/>
    </w:pPr>
    <w:rPr>
      <w:sz w:val="18"/>
      <w:szCs w:val="18"/>
    </w:rPr>
  </w:style>
  <w:style w:type="character" w:customStyle="1" w:styleId="Char0">
    <w:name w:val="页脚 Char"/>
    <w:basedOn w:val="a0"/>
    <w:link w:val="a6"/>
    <w:uiPriority w:val="99"/>
    <w:rsid w:val="003D1B07"/>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divs>
    <w:div w:id="125008608">
      <w:bodyDiv w:val="1"/>
      <w:marLeft w:val="0"/>
      <w:marRight w:val="0"/>
      <w:marTop w:val="0"/>
      <w:marBottom w:val="0"/>
      <w:divBdr>
        <w:top w:val="none" w:sz="0" w:space="0" w:color="auto"/>
        <w:left w:val="none" w:sz="0" w:space="0" w:color="auto"/>
        <w:bottom w:val="none" w:sz="0" w:space="0" w:color="auto"/>
        <w:right w:val="none" w:sz="0" w:space="0" w:color="auto"/>
      </w:divBdr>
      <w:divsChild>
        <w:div w:id="1375883104">
          <w:marLeft w:val="0"/>
          <w:marRight w:val="0"/>
          <w:marTop w:val="0"/>
          <w:marBottom w:val="330"/>
          <w:divBdr>
            <w:top w:val="none" w:sz="0" w:space="0" w:color="auto"/>
            <w:left w:val="none" w:sz="0" w:space="0" w:color="auto"/>
            <w:bottom w:val="none" w:sz="0" w:space="0" w:color="auto"/>
            <w:right w:val="none" w:sz="0" w:space="0" w:color="auto"/>
          </w:divBdr>
          <w:divsChild>
            <w:div w:id="7625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5303</Words>
  <Characters>30228</Characters>
  <Application>Microsoft Office Word</Application>
  <DocSecurity>0</DocSecurity>
  <Lines>251</Lines>
  <Paragraphs>70</Paragraphs>
  <ScaleCrop>false</ScaleCrop>
  <Company/>
  <LinksUpToDate>false</LinksUpToDate>
  <CharactersWithSpaces>35461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邹露</cp:lastModifiedBy>
  <cp:revision>2</cp:revision>
  <dcterms:created xsi:type="dcterms:W3CDTF">2019-12-30T06:28:00Z</dcterms:created>
  <dcterms:modified xsi:type="dcterms:W3CDTF">2019-12-30T06:34:00Z</dcterms:modified>
</cp:coreProperties>
</file>