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spacing w:before="0" w:line="970" w:lineRule="exact"/>
        <w:ind w:left="1155" w:right="1155" w:firstLine="0"/>
        <w:jc w:val="center"/>
        <w:rPr>
          <w:rFonts w:hint="eastAsia" w:ascii="Microsoft JhengHei" w:eastAsia="Microsoft JhengHei"/>
          <w:b/>
          <w:sz w:val="64"/>
        </w:rPr>
      </w:pPr>
      <w:r>
        <w:rPr>
          <w:rFonts w:hint="eastAsia" w:ascii="Microsoft JhengHei" w:eastAsia="Microsoft JhengHei"/>
          <w:b/>
          <w:sz w:val="64"/>
        </w:rPr>
        <w:t>山东省</w:t>
      </w:r>
    </w:p>
    <w:p>
      <w:pPr>
        <w:spacing w:before="0" w:line="1056" w:lineRule="exact"/>
        <w:ind w:left="1155" w:right="1155" w:firstLine="0"/>
        <w:jc w:val="center"/>
        <w:rPr>
          <w:rFonts w:hint="eastAsia" w:ascii="Microsoft JhengHei" w:eastAsia="Microsoft JhengHei"/>
          <w:b/>
          <w:sz w:val="64"/>
        </w:rPr>
      </w:pPr>
      <w:r>
        <w:rPr>
          <w:rFonts w:hint="eastAsia" w:ascii="Microsoft JhengHei" w:eastAsia="Microsoft JhengHei"/>
          <w:b/>
          <w:sz w:val="64"/>
        </w:rPr>
        <w:t>排污单位自行监测方案</w:t>
      </w:r>
    </w:p>
    <w:p>
      <w:pPr>
        <w:pStyle w:val="7"/>
        <w:rPr>
          <w:rFonts w:ascii="Microsoft JhengHei"/>
          <w:b/>
          <w:sz w:val="64"/>
        </w:rPr>
      </w:pPr>
    </w:p>
    <w:p>
      <w:pPr>
        <w:pStyle w:val="7"/>
        <w:spacing w:before="5"/>
        <w:rPr>
          <w:rFonts w:ascii="Microsoft JhengHei"/>
          <w:b/>
          <w:sz w:val="72"/>
        </w:rPr>
      </w:pPr>
    </w:p>
    <w:p>
      <w:pPr>
        <w:keepNext w:val="0"/>
        <w:keepLines w:val="0"/>
        <w:pageBreakBefore w:val="0"/>
        <w:widowControl w:val="0"/>
        <w:kinsoku/>
        <w:wordWrap/>
        <w:overflowPunct/>
        <w:topLinePunct w:val="0"/>
        <w:autoSpaceDE w:val="0"/>
        <w:autoSpaceDN w:val="0"/>
        <w:bidi w:val="0"/>
        <w:adjustRightInd/>
        <w:snapToGrid/>
        <w:spacing w:before="1" w:line="360" w:lineRule="auto"/>
        <w:ind w:left="2088" w:right="1497" w:firstLine="0"/>
        <w:jc w:val="left"/>
        <w:textAlignment w:val="auto"/>
        <w:rPr>
          <w:rFonts w:hint="eastAsia" w:eastAsia="宋体"/>
          <w:spacing w:val="-19"/>
          <w:sz w:val="30"/>
          <w:lang w:eastAsia="zh-CN"/>
        </w:rPr>
      </w:pPr>
      <w:r>
        <w:rPr>
          <w:rFonts w:hint="eastAsia" w:ascii="Microsoft JhengHei" w:eastAsia="Microsoft JhengHei"/>
          <w:b/>
          <w:spacing w:val="-3"/>
          <w:sz w:val="30"/>
        </w:rPr>
        <w:t>企业名称：</w:t>
      </w:r>
      <w:r>
        <w:rPr>
          <w:rFonts w:hint="eastAsia" w:ascii="Microsoft JhengHei"/>
          <w:b/>
          <w:spacing w:val="-3"/>
          <w:sz w:val="30"/>
          <w:lang w:eastAsia="zh-CN"/>
        </w:rPr>
        <w:t>东营中石大工贸有限公司垦利分公司</w:t>
      </w:r>
    </w:p>
    <w:p>
      <w:pPr>
        <w:keepNext w:val="0"/>
        <w:keepLines w:val="0"/>
        <w:pageBreakBefore w:val="0"/>
        <w:widowControl w:val="0"/>
        <w:kinsoku/>
        <w:wordWrap/>
        <w:overflowPunct/>
        <w:topLinePunct w:val="0"/>
        <w:autoSpaceDE w:val="0"/>
        <w:autoSpaceDN w:val="0"/>
        <w:bidi w:val="0"/>
        <w:adjustRightInd/>
        <w:snapToGrid/>
        <w:spacing w:before="1" w:line="360" w:lineRule="auto"/>
        <w:ind w:left="2088" w:right="1497" w:firstLine="0"/>
        <w:jc w:val="left"/>
        <w:textAlignment w:val="auto"/>
        <w:rPr>
          <w:rFonts w:hint="eastAsia" w:ascii="Microsoft JhengHei"/>
          <w:b w:val="0"/>
          <w:bCs/>
          <w:spacing w:val="-19"/>
          <w:sz w:val="28"/>
          <w:szCs w:val="28"/>
          <w:lang w:eastAsia="zh-CN"/>
        </w:rPr>
      </w:pPr>
      <w:r>
        <w:rPr>
          <w:rFonts w:hint="eastAsia" w:ascii="Microsoft JhengHei" w:eastAsia="Microsoft JhengHei"/>
          <w:b/>
          <w:spacing w:val="-19"/>
          <w:sz w:val="30"/>
        </w:rPr>
        <w:t>监测单位：</w:t>
      </w:r>
      <w:r>
        <w:rPr>
          <w:rFonts w:hint="eastAsia" w:ascii="Microsoft JhengHei"/>
          <w:b w:val="0"/>
          <w:bCs/>
          <w:spacing w:val="-19"/>
          <w:sz w:val="28"/>
          <w:szCs w:val="28"/>
          <w:lang w:eastAsia="zh-CN"/>
        </w:rPr>
        <w:t>山东百斯特职业安全检测评价有限公司（例行监测）</w:t>
      </w:r>
    </w:p>
    <w:p>
      <w:pPr>
        <w:keepNext w:val="0"/>
        <w:keepLines w:val="0"/>
        <w:pageBreakBefore w:val="0"/>
        <w:widowControl w:val="0"/>
        <w:kinsoku/>
        <w:wordWrap/>
        <w:overflowPunct/>
        <w:topLinePunct w:val="0"/>
        <w:autoSpaceDE w:val="0"/>
        <w:autoSpaceDN w:val="0"/>
        <w:bidi w:val="0"/>
        <w:adjustRightInd/>
        <w:snapToGrid/>
        <w:spacing w:before="2" w:line="360" w:lineRule="auto"/>
        <w:ind w:right="0" w:firstLine="3360" w:firstLineChars="1200"/>
        <w:jc w:val="left"/>
        <w:textAlignment w:val="auto"/>
        <w:rPr>
          <w:rFonts w:hint="eastAsia" w:cs="宋体"/>
          <w:i w:val="0"/>
          <w:caps w:val="0"/>
          <w:color w:val="131313"/>
          <w:spacing w:val="0"/>
          <w:sz w:val="28"/>
          <w:szCs w:val="28"/>
          <w:u w:val="none"/>
          <w:shd w:val="clear" w:color="auto" w:fill="FFFFFF"/>
          <w:lang w:eastAsia="zh-CN"/>
        </w:rPr>
      </w:pPr>
      <w:r>
        <w:rPr>
          <w:rFonts w:hint="eastAsia" w:ascii="宋体" w:hAnsi="宋体" w:eastAsia="宋体" w:cs="宋体"/>
          <w:i w:val="0"/>
          <w:caps w:val="0"/>
          <w:color w:val="131313"/>
          <w:spacing w:val="0"/>
          <w:sz w:val="28"/>
          <w:szCs w:val="28"/>
          <w:u w:val="none"/>
          <w:shd w:val="clear" w:color="auto" w:fill="FFFFFF"/>
        </w:rPr>
        <w:t>北京首创大气环境科技股份有限公司</w:t>
      </w:r>
      <w:r>
        <w:rPr>
          <w:rFonts w:hint="eastAsia" w:cs="宋体"/>
          <w:i w:val="0"/>
          <w:caps w:val="0"/>
          <w:color w:val="131313"/>
          <w:spacing w:val="0"/>
          <w:sz w:val="28"/>
          <w:szCs w:val="28"/>
          <w:u w:val="none"/>
          <w:shd w:val="clear" w:color="auto" w:fill="FFFFFF"/>
          <w:lang w:eastAsia="zh-CN"/>
        </w:rPr>
        <w:t>（泄露监测）</w:t>
      </w:r>
    </w:p>
    <w:p>
      <w:pPr>
        <w:pStyle w:val="2"/>
        <w:rPr>
          <w:rFonts w:hint="eastAsia"/>
          <w:lang w:eastAsia="zh-CN"/>
        </w:rPr>
      </w:pPr>
    </w:p>
    <w:p>
      <w:pPr>
        <w:keepNext w:val="0"/>
        <w:keepLines w:val="0"/>
        <w:pageBreakBefore w:val="0"/>
        <w:widowControl w:val="0"/>
        <w:kinsoku/>
        <w:wordWrap/>
        <w:overflowPunct/>
        <w:topLinePunct w:val="0"/>
        <w:autoSpaceDE w:val="0"/>
        <w:autoSpaceDN w:val="0"/>
        <w:bidi w:val="0"/>
        <w:adjustRightInd/>
        <w:snapToGrid/>
        <w:spacing w:before="2" w:line="360" w:lineRule="auto"/>
        <w:ind w:right="0" w:firstLine="3388" w:firstLineChars="1400"/>
        <w:jc w:val="left"/>
        <w:textAlignment w:val="auto"/>
        <w:rPr>
          <w:rFonts w:hint="eastAsia" w:ascii="Microsoft JhengHei"/>
          <w:b w:val="0"/>
          <w:bCs/>
          <w:spacing w:val="-19"/>
          <w:sz w:val="28"/>
          <w:szCs w:val="28"/>
          <w:lang w:eastAsia="zh-CN"/>
        </w:rPr>
      </w:pPr>
    </w:p>
    <w:p>
      <w:pPr>
        <w:pStyle w:val="2"/>
        <w:rPr>
          <w:rFonts w:hint="eastAsia" w:ascii="Microsoft JhengHei"/>
          <w:b w:val="0"/>
          <w:bCs/>
          <w:spacing w:val="-19"/>
          <w:sz w:val="28"/>
          <w:szCs w:val="28"/>
          <w:lang w:eastAsia="zh-CN"/>
        </w:rPr>
      </w:pPr>
    </w:p>
    <w:p>
      <w:pPr>
        <w:pStyle w:val="2"/>
        <w:rPr>
          <w:rFonts w:hint="eastAsia" w:ascii="Microsoft JhengHei"/>
          <w:b w:val="0"/>
          <w:bCs/>
          <w:spacing w:val="-19"/>
          <w:sz w:val="28"/>
          <w:szCs w:val="28"/>
          <w:lang w:eastAsia="zh-CN"/>
        </w:rPr>
      </w:pPr>
    </w:p>
    <w:p>
      <w:pPr>
        <w:pStyle w:val="2"/>
        <w:rPr>
          <w:rFonts w:hint="eastAsia" w:ascii="Microsoft JhengHei"/>
          <w:b w:val="0"/>
          <w:bCs/>
          <w:spacing w:val="-19"/>
          <w:sz w:val="28"/>
          <w:szCs w:val="28"/>
          <w:lang w:eastAsia="zh-CN"/>
        </w:rPr>
      </w:pPr>
    </w:p>
    <w:p>
      <w:pPr>
        <w:pStyle w:val="2"/>
        <w:rPr>
          <w:rFonts w:hint="eastAsia" w:ascii="Microsoft JhengHei"/>
          <w:b w:val="0"/>
          <w:bCs/>
          <w:spacing w:val="-19"/>
          <w:sz w:val="28"/>
          <w:szCs w:val="28"/>
          <w:lang w:eastAsia="zh-CN"/>
        </w:rPr>
      </w:pPr>
    </w:p>
    <w:p>
      <w:pPr>
        <w:spacing w:before="2"/>
        <w:ind w:left="2088" w:right="0" w:firstLine="0"/>
        <w:jc w:val="left"/>
        <w:rPr>
          <w:sz w:val="28"/>
        </w:rPr>
      </w:pPr>
      <w:r>
        <w:rPr>
          <w:rFonts w:hint="eastAsia" w:ascii="Microsoft JhengHei" w:eastAsia="Microsoft JhengHei"/>
          <w:b/>
          <w:sz w:val="30"/>
        </w:rPr>
        <w:t>备案日期：</w:t>
      </w:r>
      <w:r>
        <w:rPr>
          <w:sz w:val="28"/>
        </w:rPr>
        <w:t>202</w:t>
      </w:r>
      <w:r>
        <w:rPr>
          <w:rFonts w:hint="eastAsia"/>
          <w:sz w:val="28"/>
          <w:lang w:val="en-US" w:eastAsia="zh-CN"/>
        </w:rPr>
        <w:t>1</w:t>
      </w:r>
      <w:r>
        <w:rPr>
          <w:sz w:val="28"/>
        </w:rPr>
        <w:t xml:space="preserve"> 年  月 </w:t>
      </w:r>
      <w:r>
        <w:rPr>
          <w:rFonts w:hint="eastAsia"/>
          <w:sz w:val="28"/>
          <w:lang w:val="en-US" w:eastAsia="zh-CN"/>
        </w:rPr>
        <w:t xml:space="preserve">  </w:t>
      </w:r>
      <w:r>
        <w:rPr>
          <w:sz w:val="28"/>
        </w:rPr>
        <w:t xml:space="preserve"> 日</w:t>
      </w:r>
    </w:p>
    <w:p>
      <w:pPr>
        <w:spacing w:after="0"/>
        <w:jc w:val="left"/>
        <w:rPr>
          <w:sz w:val="28"/>
        </w:rPr>
        <w:sectPr>
          <w:type w:val="continuous"/>
          <w:pgSz w:w="11910" w:h="16840"/>
          <w:pgMar w:top="1580" w:right="460" w:bottom="280" w:left="460" w:header="720" w:footer="720" w:gutter="0"/>
          <w:pgBorders>
            <w:top w:val="none" w:sz="0" w:space="0"/>
            <w:left w:val="none" w:sz="0" w:space="0"/>
            <w:bottom w:val="none" w:sz="0" w:space="0"/>
            <w:right w:val="none" w:sz="0" w:space="0"/>
          </w:pgBorders>
        </w:sectPr>
      </w:pPr>
    </w:p>
    <w:p>
      <w:pPr>
        <w:spacing w:before="0" w:line="561" w:lineRule="exact"/>
        <w:ind w:left="1155" w:right="1155" w:firstLine="0"/>
        <w:jc w:val="center"/>
        <w:rPr>
          <w:rFonts w:hint="eastAsia" w:ascii="Microsoft JhengHei" w:eastAsia="Microsoft JhengHei"/>
          <w:b/>
          <w:sz w:val="36"/>
        </w:rPr>
      </w:pPr>
      <w:r>
        <w:rPr>
          <w:rFonts w:hint="eastAsia" w:ascii="Microsoft JhengHei"/>
          <w:b/>
          <w:sz w:val="36"/>
          <w:lang w:eastAsia="zh-CN"/>
        </w:rPr>
        <w:t>东营中石大工贸</w:t>
      </w:r>
      <w:r>
        <w:rPr>
          <w:rFonts w:hint="eastAsia" w:ascii="Microsoft JhengHei" w:eastAsia="Microsoft JhengHei"/>
          <w:b/>
          <w:sz w:val="36"/>
        </w:rPr>
        <w:t>有限公司</w:t>
      </w:r>
      <w:r>
        <w:rPr>
          <w:rFonts w:hint="eastAsia" w:ascii="Microsoft JhengHei"/>
          <w:b/>
          <w:sz w:val="36"/>
          <w:lang w:eastAsia="zh-CN"/>
        </w:rPr>
        <w:t>垦利分公司</w:t>
      </w:r>
      <w:r>
        <w:rPr>
          <w:rFonts w:hint="eastAsia" w:ascii="Microsoft JhengHei" w:eastAsia="Microsoft JhengHei"/>
          <w:b/>
          <w:sz w:val="36"/>
        </w:rPr>
        <w:t>自行监测方案</w:t>
      </w:r>
    </w:p>
    <w:p>
      <w:pPr>
        <w:pStyle w:val="4"/>
        <w:spacing w:line="350" w:lineRule="auto"/>
        <w:ind w:left="1128" w:right="1217"/>
      </w:pPr>
      <w:r>
        <w:t>根据《企业事业单位环境信息公开办法》、《国家重点监控企业自行监测及信息公开办法（试行）》和《排污单位自行监测技术指南》的规定，制定本企业自行监测方案。</w:t>
      </w:r>
    </w:p>
    <w:p>
      <w:pPr>
        <w:spacing w:after="0" w:line="350" w:lineRule="auto"/>
        <w:sectPr>
          <w:pgSz w:w="11910" w:h="16840"/>
          <w:pgMar w:top="1520" w:right="460" w:bottom="280" w:left="460" w:header="720" w:footer="720" w:gutter="0"/>
          <w:pgBorders>
            <w:top w:val="none" w:sz="0" w:space="0"/>
            <w:left w:val="none" w:sz="0" w:space="0"/>
            <w:bottom w:val="none" w:sz="0" w:space="0"/>
            <w:right w:val="none" w:sz="0" w:space="0"/>
          </w:pgBorders>
        </w:sectPr>
      </w:pPr>
    </w:p>
    <w:p>
      <w:pPr>
        <w:spacing w:before="0" w:line="538" w:lineRule="exact"/>
        <w:ind w:left="1771" w:right="0" w:firstLine="0"/>
        <w:jc w:val="left"/>
        <w:rPr>
          <w:rFonts w:hint="eastAsia" w:ascii="Microsoft JhengHei" w:eastAsia="Microsoft JhengHei"/>
          <w:b/>
          <w:sz w:val="32"/>
        </w:rPr>
      </w:pPr>
      <w:r>
        <w:rPr>
          <w:rFonts w:hint="eastAsia" w:ascii="Microsoft JhengHei" w:eastAsia="Microsoft JhengHei"/>
          <w:b/>
          <w:sz w:val="32"/>
        </w:rPr>
        <w:t>一、 基本情况</w:t>
      </w:r>
    </w:p>
    <w:p>
      <w:pPr>
        <w:pStyle w:val="7"/>
        <w:spacing w:before="15"/>
        <w:rPr>
          <w:rFonts w:ascii="Microsoft JhengHei"/>
          <w:b/>
          <w:sz w:val="26"/>
        </w:rPr>
      </w:pPr>
    </w:p>
    <w:tbl>
      <w:tblPr>
        <w:tblStyle w:val="8"/>
        <w:tblW w:w="0" w:type="auto"/>
        <w:tblInd w:w="14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45"/>
        <w:gridCol w:w="3415"/>
        <w:gridCol w:w="863"/>
        <w:gridCol w:w="967"/>
        <w:gridCol w:w="362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845" w:type="dxa"/>
            <w:tcBorders>
              <w:bottom w:val="single" w:color="000000" w:sz="6" w:space="0"/>
              <w:right w:val="single" w:color="000000" w:sz="6" w:space="0"/>
            </w:tcBorders>
          </w:tcPr>
          <w:p>
            <w:pPr>
              <w:pStyle w:val="14"/>
              <w:spacing w:before="194"/>
              <w:ind w:left="108"/>
              <w:rPr>
                <w:rFonts w:hint="eastAsia" w:ascii="仿宋" w:eastAsia="仿宋"/>
                <w:sz w:val="24"/>
              </w:rPr>
            </w:pPr>
            <w:r>
              <w:rPr>
                <w:rFonts w:hint="eastAsia" w:ascii="仿宋" w:eastAsia="仿宋"/>
                <w:sz w:val="24"/>
              </w:rPr>
              <w:t>企业名称</w:t>
            </w:r>
          </w:p>
        </w:tc>
        <w:tc>
          <w:tcPr>
            <w:tcW w:w="3415" w:type="dxa"/>
            <w:tcBorders>
              <w:left w:val="single" w:color="000000" w:sz="6" w:space="0"/>
              <w:bottom w:val="single" w:color="000000" w:sz="6" w:space="0"/>
              <w:right w:val="single" w:color="000000" w:sz="6" w:space="0"/>
            </w:tcBorders>
          </w:tcPr>
          <w:p>
            <w:pPr>
              <w:pStyle w:val="14"/>
              <w:spacing w:before="35" w:line="310" w:lineRule="atLeast"/>
              <w:ind w:left="115" w:right="402"/>
              <w:rPr>
                <w:rFonts w:hint="eastAsia" w:ascii="仿宋" w:eastAsia="仿宋"/>
                <w:sz w:val="24"/>
                <w:lang w:val="en-US" w:eastAsia="zh-CN"/>
              </w:rPr>
            </w:pPr>
            <w:r>
              <w:rPr>
                <w:rFonts w:hint="eastAsia" w:ascii="仿宋" w:eastAsia="仿宋"/>
                <w:sz w:val="24"/>
                <w:lang w:val="en-US" w:eastAsia="zh-CN"/>
              </w:rPr>
              <w:t>东营中石大工贸有限公司垦利分公司</w:t>
            </w:r>
          </w:p>
        </w:tc>
        <w:tc>
          <w:tcPr>
            <w:tcW w:w="1830" w:type="dxa"/>
            <w:gridSpan w:val="2"/>
            <w:tcBorders>
              <w:left w:val="single" w:color="000000" w:sz="6" w:space="0"/>
              <w:bottom w:val="single" w:color="000000" w:sz="6" w:space="0"/>
              <w:right w:val="single" w:color="000000" w:sz="6" w:space="0"/>
            </w:tcBorders>
          </w:tcPr>
          <w:p>
            <w:pPr>
              <w:pStyle w:val="14"/>
              <w:spacing w:before="194"/>
              <w:ind w:left="115"/>
              <w:rPr>
                <w:rFonts w:hint="eastAsia" w:ascii="仿宋" w:eastAsia="仿宋"/>
                <w:sz w:val="24"/>
              </w:rPr>
            </w:pPr>
            <w:r>
              <w:rPr>
                <w:rFonts w:hint="eastAsia" w:ascii="仿宋" w:eastAsia="仿宋"/>
                <w:sz w:val="24"/>
              </w:rPr>
              <w:t>行业类别</w:t>
            </w:r>
          </w:p>
        </w:tc>
        <w:tc>
          <w:tcPr>
            <w:tcW w:w="3628" w:type="dxa"/>
            <w:tcBorders>
              <w:left w:val="single" w:color="000000" w:sz="6" w:space="0"/>
              <w:bottom w:val="single" w:color="000000" w:sz="6" w:space="0"/>
            </w:tcBorders>
          </w:tcPr>
          <w:p>
            <w:pPr>
              <w:pStyle w:val="14"/>
              <w:spacing w:before="194"/>
              <w:ind w:left="115"/>
              <w:rPr>
                <w:rFonts w:hint="eastAsia" w:ascii="仿宋" w:eastAsia="仿宋"/>
                <w:sz w:val="24"/>
                <w:lang w:eastAsia="zh-CN"/>
              </w:rPr>
            </w:pPr>
            <w:r>
              <w:rPr>
                <w:rFonts w:hint="eastAsia" w:ascii="仿宋" w:eastAsia="仿宋"/>
                <w:sz w:val="24"/>
                <w:lang w:eastAsia="zh-CN"/>
              </w:rPr>
              <w:t>有机化学原料制造</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6" w:hRule="atLeast"/>
        </w:trPr>
        <w:tc>
          <w:tcPr>
            <w:tcW w:w="1845" w:type="dxa"/>
            <w:tcBorders>
              <w:top w:val="single" w:color="000000" w:sz="6" w:space="0"/>
              <w:bottom w:val="single" w:color="000000" w:sz="6" w:space="0"/>
              <w:right w:val="single" w:color="000000" w:sz="6" w:space="0"/>
            </w:tcBorders>
          </w:tcPr>
          <w:p>
            <w:pPr>
              <w:pStyle w:val="14"/>
              <w:spacing w:before="134"/>
              <w:ind w:left="108"/>
              <w:rPr>
                <w:rFonts w:hint="eastAsia" w:ascii="仿宋" w:eastAsia="仿宋"/>
                <w:sz w:val="24"/>
              </w:rPr>
            </w:pPr>
            <w:r>
              <w:rPr>
                <w:rFonts w:hint="eastAsia" w:ascii="仿宋" w:eastAsia="仿宋"/>
                <w:sz w:val="24"/>
              </w:rPr>
              <w:t>曾用名</w:t>
            </w:r>
          </w:p>
        </w:tc>
        <w:tc>
          <w:tcPr>
            <w:tcW w:w="3415" w:type="dxa"/>
            <w:tcBorders>
              <w:top w:val="single" w:color="000000" w:sz="6" w:space="0"/>
              <w:left w:val="single" w:color="000000" w:sz="6" w:space="0"/>
              <w:bottom w:val="single" w:color="000000" w:sz="6" w:space="0"/>
              <w:right w:val="single" w:color="000000" w:sz="6" w:space="0"/>
            </w:tcBorders>
          </w:tcPr>
          <w:p>
            <w:pPr>
              <w:pStyle w:val="14"/>
              <w:rPr>
                <w:rFonts w:ascii="Times New Roman"/>
                <w:sz w:val="24"/>
              </w:rPr>
            </w:pP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34"/>
              <w:ind w:left="115"/>
              <w:rPr>
                <w:rFonts w:hint="eastAsia" w:ascii="仿宋" w:eastAsia="仿宋"/>
                <w:sz w:val="24"/>
              </w:rPr>
            </w:pPr>
            <w:r>
              <w:rPr>
                <w:rFonts w:hint="eastAsia" w:ascii="仿宋" w:eastAsia="仿宋"/>
                <w:sz w:val="24"/>
              </w:rPr>
              <w:t>注册类型</w:t>
            </w:r>
          </w:p>
        </w:tc>
        <w:tc>
          <w:tcPr>
            <w:tcW w:w="3628" w:type="dxa"/>
            <w:tcBorders>
              <w:top w:val="single" w:color="000000" w:sz="6" w:space="0"/>
              <w:left w:val="single" w:color="000000" w:sz="6" w:space="0"/>
              <w:bottom w:val="single" w:color="000000" w:sz="6" w:space="0"/>
            </w:tcBorders>
          </w:tcPr>
          <w:p>
            <w:pPr>
              <w:pStyle w:val="14"/>
              <w:spacing w:before="134"/>
              <w:ind w:left="115"/>
              <w:rPr>
                <w:rFonts w:hint="eastAsia" w:ascii="仿宋" w:eastAsia="仿宋"/>
                <w:sz w:val="24"/>
              </w:rPr>
            </w:pPr>
            <w:r>
              <w:rPr>
                <w:rFonts w:hint="eastAsia" w:ascii="仿宋" w:eastAsia="仿宋"/>
                <w:sz w:val="24"/>
              </w:rPr>
              <w:t>有限公司</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845" w:type="dxa"/>
            <w:tcBorders>
              <w:top w:val="single" w:color="000000" w:sz="6" w:space="0"/>
              <w:bottom w:val="single" w:color="000000" w:sz="6" w:space="0"/>
              <w:right w:val="single" w:color="000000" w:sz="6" w:space="0"/>
            </w:tcBorders>
          </w:tcPr>
          <w:p>
            <w:pPr>
              <w:pStyle w:val="14"/>
              <w:spacing w:before="165"/>
              <w:ind w:left="108"/>
              <w:jc w:val="left"/>
              <w:rPr>
                <w:rFonts w:hint="eastAsia" w:ascii="仿宋" w:eastAsia="仿宋"/>
                <w:sz w:val="24"/>
              </w:rPr>
            </w:pPr>
            <w:r>
              <w:rPr>
                <w:rFonts w:hint="eastAsia" w:ascii="仿宋" w:eastAsia="仿宋"/>
                <w:sz w:val="24"/>
              </w:rPr>
              <w:t>组织机构代码</w:t>
            </w:r>
          </w:p>
        </w:tc>
        <w:tc>
          <w:tcPr>
            <w:tcW w:w="3415" w:type="dxa"/>
            <w:tcBorders>
              <w:top w:val="single" w:color="000000" w:sz="6" w:space="0"/>
              <w:left w:val="single" w:color="000000" w:sz="6" w:space="0"/>
              <w:bottom w:val="single" w:color="000000" w:sz="6" w:space="0"/>
              <w:right w:val="single" w:color="000000" w:sz="6" w:space="0"/>
            </w:tcBorders>
          </w:tcPr>
          <w:p>
            <w:pPr>
              <w:keepNext w:val="0"/>
              <w:keepLines w:val="0"/>
              <w:widowControl/>
              <w:suppressLineNumbers w:val="0"/>
              <w:jc w:val="both"/>
              <w:rPr>
                <w:rFonts w:hint="default" w:ascii="Times New Roman"/>
                <w:sz w:val="24"/>
                <w:lang w:val="en-US"/>
              </w:rPr>
            </w:pPr>
            <w:r>
              <w:rPr>
                <w:rFonts w:hint="default" w:ascii="Times New Roman" w:hAnsi="Times New Roman" w:eastAsia="仿宋_GB2312" w:cs="Times New Roman"/>
                <w:color w:val="000000"/>
                <w:kern w:val="0"/>
                <w:sz w:val="24"/>
                <w:szCs w:val="24"/>
                <w:lang w:val="en-US" w:eastAsia="zh-CN"/>
              </w:rPr>
              <w:t>913705</w:t>
            </w:r>
            <w:r>
              <w:rPr>
                <w:rFonts w:hint="eastAsia" w:ascii="Times New Roman" w:hAnsi="Times New Roman" w:eastAsia="仿宋_GB2312" w:cs="Times New Roman"/>
                <w:color w:val="000000"/>
                <w:kern w:val="0"/>
                <w:sz w:val="24"/>
                <w:szCs w:val="24"/>
                <w:lang w:val="en-US" w:eastAsia="zh-CN"/>
              </w:rPr>
              <w:t>21664415399H</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rPr>
            </w:pPr>
            <w:r>
              <w:rPr>
                <w:rFonts w:hint="eastAsia" w:ascii="仿宋" w:eastAsia="仿宋"/>
                <w:sz w:val="24"/>
              </w:rPr>
              <w:t>社会信用代码</w:t>
            </w:r>
          </w:p>
        </w:tc>
        <w:tc>
          <w:tcPr>
            <w:tcW w:w="3628" w:type="dxa"/>
            <w:tcBorders>
              <w:top w:val="single" w:color="000000" w:sz="6" w:space="0"/>
              <w:left w:val="single" w:color="000000" w:sz="6" w:space="0"/>
              <w:bottom w:val="single" w:color="000000" w:sz="6" w:space="0"/>
            </w:tcBorders>
          </w:tcPr>
          <w:p>
            <w:pPr>
              <w:pStyle w:val="14"/>
              <w:spacing w:before="165"/>
              <w:rPr>
                <w:rFonts w:ascii="仿宋"/>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845" w:type="dxa"/>
            <w:tcBorders>
              <w:top w:val="single" w:color="000000" w:sz="6" w:space="0"/>
              <w:bottom w:val="single" w:color="000000" w:sz="6" w:space="0"/>
              <w:right w:val="single" w:color="000000" w:sz="6" w:space="0"/>
            </w:tcBorders>
          </w:tcPr>
          <w:p>
            <w:pPr>
              <w:pStyle w:val="14"/>
              <w:spacing w:before="194"/>
              <w:ind w:left="108"/>
              <w:rPr>
                <w:rFonts w:hint="eastAsia" w:ascii="仿宋" w:eastAsia="仿宋"/>
                <w:sz w:val="24"/>
              </w:rPr>
            </w:pPr>
            <w:r>
              <w:rPr>
                <w:rFonts w:hint="eastAsia" w:ascii="仿宋" w:eastAsia="仿宋"/>
                <w:sz w:val="24"/>
              </w:rPr>
              <w:t>企业规模</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94"/>
              <w:ind w:left="115"/>
              <w:rPr>
                <w:rFonts w:hint="eastAsia" w:ascii="仿宋" w:eastAsia="仿宋"/>
                <w:sz w:val="24"/>
              </w:rPr>
            </w:pPr>
            <w:r>
              <w:rPr>
                <w:rFonts w:hint="eastAsia" w:ascii="仿宋" w:eastAsia="仿宋"/>
                <w:sz w:val="24"/>
                <w:lang w:eastAsia="zh-CN"/>
              </w:rPr>
              <w:t>小</w:t>
            </w:r>
            <w:r>
              <w:rPr>
                <w:rFonts w:hint="eastAsia" w:ascii="仿宋" w:eastAsia="仿宋"/>
                <w:sz w:val="24"/>
              </w:rPr>
              <w:t>型</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35" w:line="310" w:lineRule="atLeast"/>
              <w:ind w:left="115" w:right="257"/>
              <w:rPr>
                <w:rFonts w:hint="eastAsia" w:ascii="仿宋" w:eastAsia="仿宋"/>
                <w:sz w:val="24"/>
              </w:rPr>
            </w:pPr>
            <w:r>
              <w:rPr>
                <w:rFonts w:hint="eastAsia" w:ascii="仿宋" w:eastAsia="仿宋"/>
                <w:sz w:val="24"/>
              </w:rPr>
              <w:t>对应市平台自动监控企业</w:t>
            </w:r>
          </w:p>
        </w:tc>
        <w:tc>
          <w:tcPr>
            <w:tcW w:w="3628" w:type="dxa"/>
            <w:tcBorders>
              <w:top w:val="single" w:color="000000" w:sz="6" w:space="0"/>
              <w:left w:val="single" w:color="000000" w:sz="6" w:space="0"/>
              <w:bottom w:val="single" w:color="000000" w:sz="6" w:space="0"/>
            </w:tcBorders>
          </w:tcPr>
          <w:p>
            <w:pPr>
              <w:pStyle w:val="14"/>
              <w:spacing w:before="35" w:line="310" w:lineRule="atLeast"/>
              <w:ind w:left="115" w:right="369"/>
              <w:rPr>
                <w:rFonts w:hint="eastAsia" w:ascii="仿宋" w:eastAsia="仿宋"/>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6" w:hRule="atLeast"/>
        </w:trPr>
        <w:tc>
          <w:tcPr>
            <w:tcW w:w="1845" w:type="dxa"/>
            <w:tcBorders>
              <w:top w:val="single" w:color="000000" w:sz="6" w:space="0"/>
              <w:bottom w:val="single" w:color="000000" w:sz="6" w:space="0"/>
              <w:right w:val="single" w:color="000000" w:sz="6" w:space="0"/>
            </w:tcBorders>
          </w:tcPr>
          <w:p>
            <w:pPr>
              <w:pStyle w:val="14"/>
              <w:spacing w:before="134"/>
              <w:ind w:left="108"/>
              <w:rPr>
                <w:rFonts w:hint="eastAsia" w:ascii="仿宋" w:eastAsia="仿宋"/>
                <w:sz w:val="24"/>
              </w:rPr>
            </w:pPr>
            <w:r>
              <w:rPr>
                <w:rFonts w:hint="eastAsia" w:ascii="仿宋" w:eastAsia="仿宋"/>
                <w:sz w:val="24"/>
              </w:rPr>
              <w:t>中心经度</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34"/>
              <w:ind w:left="115"/>
              <w:rPr>
                <w:rFonts w:ascii="仿宋" w:hAnsi="仿宋"/>
                <w:sz w:val="24"/>
              </w:rPr>
            </w:pPr>
            <w:r>
              <w:rPr>
                <w:rFonts w:ascii="仿宋" w:hAnsi="仿宋"/>
                <w:sz w:val="24"/>
              </w:rPr>
              <w:t>E 118°41'</w:t>
            </w:r>
            <w:r>
              <w:rPr>
                <w:rFonts w:hint="eastAsia" w:ascii="仿宋" w:hAnsi="仿宋"/>
                <w:sz w:val="24"/>
                <w:lang w:val="en-US" w:eastAsia="zh-CN"/>
              </w:rPr>
              <w:t>17</w:t>
            </w:r>
            <w:r>
              <w:rPr>
                <w:rFonts w:ascii="仿宋" w:hAnsi="仿宋"/>
                <w:sz w:val="24"/>
              </w:rPr>
              <w:t>.</w:t>
            </w:r>
            <w:r>
              <w:rPr>
                <w:rFonts w:hint="eastAsia" w:ascii="仿宋" w:hAnsi="仿宋"/>
                <w:sz w:val="24"/>
                <w:lang w:val="en-US" w:eastAsia="zh-CN"/>
              </w:rPr>
              <w:t>84</w:t>
            </w:r>
            <w:r>
              <w:rPr>
                <w:rFonts w:ascii="仿宋" w:hAnsi="仿宋"/>
                <w:sz w:val="24"/>
              </w:rPr>
              <w:t>"</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34"/>
              <w:ind w:left="115"/>
              <w:rPr>
                <w:rFonts w:hint="eastAsia" w:ascii="仿宋" w:eastAsia="仿宋"/>
                <w:sz w:val="24"/>
              </w:rPr>
            </w:pPr>
            <w:r>
              <w:rPr>
                <w:rFonts w:hint="eastAsia" w:ascii="仿宋" w:eastAsia="仿宋"/>
                <w:sz w:val="24"/>
              </w:rPr>
              <w:t>中心纬度</w:t>
            </w:r>
          </w:p>
        </w:tc>
        <w:tc>
          <w:tcPr>
            <w:tcW w:w="3628" w:type="dxa"/>
            <w:tcBorders>
              <w:top w:val="single" w:color="000000" w:sz="6" w:space="0"/>
              <w:left w:val="single" w:color="000000" w:sz="6" w:space="0"/>
              <w:bottom w:val="single" w:color="000000" w:sz="6" w:space="0"/>
            </w:tcBorders>
          </w:tcPr>
          <w:p>
            <w:pPr>
              <w:pStyle w:val="14"/>
              <w:spacing w:before="134"/>
              <w:ind w:left="115"/>
              <w:rPr>
                <w:rFonts w:ascii="仿宋" w:hAnsi="仿宋"/>
                <w:sz w:val="24"/>
              </w:rPr>
            </w:pPr>
            <w:r>
              <w:rPr>
                <w:rFonts w:ascii="仿宋" w:hAnsi="仿宋"/>
                <w:sz w:val="24"/>
              </w:rPr>
              <w:t>N 37°3</w:t>
            </w:r>
            <w:r>
              <w:rPr>
                <w:rFonts w:hint="eastAsia" w:ascii="仿宋" w:hAnsi="仿宋"/>
                <w:sz w:val="24"/>
                <w:lang w:val="en-US" w:eastAsia="zh-CN"/>
              </w:rPr>
              <w:t>0</w:t>
            </w:r>
            <w:r>
              <w:rPr>
                <w:rFonts w:ascii="仿宋" w:hAnsi="仿宋"/>
                <w:sz w:val="24"/>
              </w:rPr>
              <w:t>'</w:t>
            </w:r>
            <w:r>
              <w:rPr>
                <w:rFonts w:hint="eastAsia" w:ascii="仿宋" w:hAnsi="仿宋"/>
                <w:sz w:val="24"/>
                <w:lang w:val="en-US" w:eastAsia="zh-CN"/>
              </w:rPr>
              <w:t>53.31</w:t>
            </w:r>
            <w:r>
              <w:rPr>
                <w:rFonts w:ascii="仿宋" w:hAnsi="仿宋"/>
                <w:sz w:val="24"/>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9" w:hRule="atLeast"/>
        </w:trPr>
        <w:tc>
          <w:tcPr>
            <w:tcW w:w="1845" w:type="dxa"/>
            <w:tcBorders>
              <w:top w:val="single" w:color="000000" w:sz="6" w:space="0"/>
              <w:bottom w:val="single" w:color="000000" w:sz="6" w:space="0"/>
              <w:right w:val="single" w:color="000000" w:sz="6" w:space="0"/>
            </w:tcBorders>
          </w:tcPr>
          <w:p>
            <w:pPr>
              <w:pStyle w:val="14"/>
              <w:spacing w:before="1"/>
              <w:rPr>
                <w:rFonts w:ascii="Microsoft JhengHei"/>
                <w:b/>
                <w:sz w:val="12"/>
              </w:rPr>
            </w:pPr>
          </w:p>
          <w:p>
            <w:pPr>
              <w:pStyle w:val="14"/>
              <w:ind w:left="108"/>
              <w:rPr>
                <w:rFonts w:hint="eastAsia" w:ascii="仿宋" w:eastAsia="仿宋"/>
                <w:sz w:val="24"/>
              </w:rPr>
            </w:pPr>
            <w:r>
              <w:rPr>
                <w:rFonts w:hint="eastAsia" w:ascii="仿宋" w:eastAsia="仿宋"/>
                <w:sz w:val="24"/>
              </w:rPr>
              <w:t>企业注册地址</w:t>
            </w:r>
          </w:p>
        </w:tc>
        <w:tc>
          <w:tcPr>
            <w:tcW w:w="3415" w:type="dxa"/>
            <w:tcBorders>
              <w:top w:val="single" w:color="000000" w:sz="6" w:space="0"/>
              <w:left w:val="single" w:color="000000" w:sz="6" w:space="0"/>
              <w:bottom w:val="single" w:color="000000" w:sz="6" w:space="0"/>
              <w:right w:val="single" w:color="000000" w:sz="6" w:space="0"/>
            </w:tcBorders>
          </w:tcPr>
          <w:p>
            <w:pPr>
              <w:keepNext w:val="0"/>
              <w:keepLines w:val="0"/>
              <w:widowControl/>
              <w:suppressLineNumbers w:val="0"/>
              <w:jc w:val="left"/>
              <w:rPr>
                <w:rFonts w:hint="eastAsia" w:ascii="仿宋" w:eastAsia="仿宋"/>
                <w:sz w:val="24"/>
              </w:rPr>
            </w:pPr>
            <w:r>
              <w:rPr>
                <w:rFonts w:hint="eastAsia" w:ascii="仿宋_GB2312" w:hAnsi="仿宋_GB2312" w:eastAsia="仿宋_GB2312"/>
                <w:color w:val="000000"/>
                <w:kern w:val="0"/>
                <w:sz w:val="24"/>
                <w:szCs w:val="24"/>
                <w:lang w:val="en-US" w:eastAsia="zh-CN"/>
              </w:rPr>
              <w:t>东营市垦利区南外环路以南、博新路以西（后李村）</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
              <w:rPr>
                <w:rFonts w:ascii="Microsoft JhengHei"/>
                <w:b/>
                <w:sz w:val="12"/>
              </w:rPr>
            </w:pPr>
          </w:p>
          <w:p>
            <w:pPr>
              <w:pStyle w:val="14"/>
              <w:ind w:left="115"/>
              <w:rPr>
                <w:rFonts w:hint="eastAsia" w:ascii="仿宋" w:eastAsia="仿宋"/>
                <w:sz w:val="24"/>
              </w:rPr>
            </w:pPr>
            <w:r>
              <w:rPr>
                <w:rFonts w:hint="eastAsia" w:ascii="仿宋" w:eastAsia="仿宋"/>
                <w:sz w:val="24"/>
              </w:rPr>
              <w:t>邮编</w:t>
            </w:r>
          </w:p>
        </w:tc>
        <w:tc>
          <w:tcPr>
            <w:tcW w:w="3628" w:type="dxa"/>
            <w:tcBorders>
              <w:top w:val="single" w:color="000000" w:sz="6" w:space="0"/>
              <w:left w:val="single" w:color="000000" w:sz="6" w:space="0"/>
              <w:bottom w:val="single" w:color="000000" w:sz="6" w:space="0"/>
            </w:tcBorders>
          </w:tcPr>
          <w:p>
            <w:pPr>
              <w:pStyle w:val="14"/>
              <w:spacing w:before="1"/>
              <w:rPr>
                <w:rFonts w:ascii="Microsoft JhengHei"/>
                <w:b/>
                <w:sz w:val="12"/>
              </w:rPr>
            </w:pPr>
          </w:p>
          <w:p>
            <w:pPr>
              <w:pStyle w:val="14"/>
              <w:ind w:left="115"/>
              <w:rPr>
                <w:rFonts w:ascii="仿宋"/>
                <w:sz w:val="24"/>
              </w:rPr>
            </w:pPr>
            <w:r>
              <w:rPr>
                <w:rFonts w:ascii="仿宋"/>
                <w:sz w:val="24"/>
              </w:rPr>
              <w:t>257503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7" w:hRule="atLeast"/>
        </w:trPr>
        <w:tc>
          <w:tcPr>
            <w:tcW w:w="1845" w:type="dxa"/>
            <w:tcBorders>
              <w:top w:val="single" w:color="000000" w:sz="6" w:space="0"/>
              <w:bottom w:val="single" w:color="000000" w:sz="6" w:space="0"/>
              <w:right w:val="single" w:color="000000" w:sz="6" w:space="0"/>
            </w:tcBorders>
          </w:tcPr>
          <w:p>
            <w:pPr>
              <w:pStyle w:val="14"/>
              <w:spacing w:before="16"/>
              <w:rPr>
                <w:rFonts w:ascii="Microsoft JhengHei"/>
                <w:b/>
                <w:sz w:val="11"/>
              </w:rPr>
            </w:pPr>
          </w:p>
          <w:p>
            <w:pPr>
              <w:pStyle w:val="14"/>
              <w:ind w:left="108"/>
              <w:rPr>
                <w:rFonts w:hint="eastAsia" w:ascii="仿宋" w:eastAsia="仿宋"/>
                <w:sz w:val="24"/>
              </w:rPr>
            </w:pPr>
            <w:r>
              <w:rPr>
                <w:rFonts w:hint="eastAsia" w:ascii="仿宋" w:eastAsia="仿宋"/>
                <w:sz w:val="24"/>
              </w:rPr>
              <w:t>企业生产地址</w:t>
            </w:r>
          </w:p>
        </w:tc>
        <w:tc>
          <w:tcPr>
            <w:tcW w:w="3415" w:type="dxa"/>
            <w:tcBorders>
              <w:top w:val="single" w:color="000000" w:sz="6" w:space="0"/>
              <w:left w:val="single" w:color="000000" w:sz="6" w:space="0"/>
              <w:bottom w:val="single" w:color="000000" w:sz="6" w:space="0"/>
              <w:right w:val="single" w:color="000000" w:sz="6" w:space="0"/>
            </w:tcBorders>
          </w:tcPr>
          <w:p>
            <w:pPr>
              <w:keepNext w:val="0"/>
              <w:keepLines w:val="0"/>
              <w:widowControl/>
              <w:suppressLineNumbers w:val="0"/>
              <w:jc w:val="left"/>
              <w:rPr>
                <w:rFonts w:hint="eastAsia" w:ascii="仿宋" w:eastAsia="仿宋"/>
                <w:sz w:val="24"/>
              </w:rPr>
            </w:pPr>
            <w:r>
              <w:rPr>
                <w:rFonts w:hint="eastAsia" w:ascii="仿宋_GB2312" w:hAnsi="仿宋_GB2312" w:eastAsia="仿宋_GB2312"/>
                <w:color w:val="000000"/>
                <w:kern w:val="0"/>
                <w:sz w:val="24"/>
                <w:szCs w:val="24"/>
                <w:lang w:val="en-US" w:eastAsia="zh-CN"/>
              </w:rPr>
              <w:t>东营市垦利区南外环路以南、博新路以西（后李村）</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
              <w:rPr>
                <w:rFonts w:ascii="Microsoft JhengHei"/>
                <w:b/>
                <w:sz w:val="11"/>
              </w:rPr>
            </w:pPr>
          </w:p>
          <w:p>
            <w:pPr>
              <w:pStyle w:val="14"/>
              <w:ind w:left="115"/>
              <w:rPr>
                <w:rFonts w:hint="eastAsia" w:ascii="仿宋" w:eastAsia="仿宋"/>
                <w:sz w:val="24"/>
              </w:rPr>
            </w:pPr>
            <w:r>
              <w:rPr>
                <w:rFonts w:hint="eastAsia" w:ascii="仿宋" w:eastAsia="仿宋"/>
                <w:sz w:val="24"/>
              </w:rPr>
              <w:t>邮编</w:t>
            </w:r>
          </w:p>
        </w:tc>
        <w:tc>
          <w:tcPr>
            <w:tcW w:w="3628" w:type="dxa"/>
            <w:tcBorders>
              <w:top w:val="single" w:color="000000" w:sz="6" w:space="0"/>
              <w:left w:val="single" w:color="000000" w:sz="6" w:space="0"/>
              <w:bottom w:val="single" w:color="000000" w:sz="6" w:space="0"/>
            </w:tcBorders>
          </w:tcPr>
          <w:p>
            <w:pPr>
              <w:pStyle w:val="14"/>
              <w:spacing w:before="16"/>
              <w:rPr>
                <w:rFonts w:ascii="Microsoft JhengHei"/>
                <w:b/>
                <w:sz w:val="11"/>
              </w:rPr>
            </w:pPr>
          </w:p>
          <w:p>
            <w:pPr>
              <w:pStyle w:val="14"/>
              <w:ind w:left="115"/>
              <w:rPr>
                <w:rFonts w:ascii="仿宋"/>
                <w:sz w:val="24"/>
              </w:rPr>
            </w:pPr>
            <w:r>
              <w:rPr>
                <w:rFonts w:ascii="仿宋"/>
                <w:sz w:val="24"/>
              </w:rPr>
              <w:t>257503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4" w:hRule="atLeast"/>
        </w:trPr>
        <w:tc>
          <w:tcPr>
            <w:tcW w:w="1845" w:type="dxa"/>
            <w:tcBorders>
              <w:top w:val="single" w:color="000000" w:sz="6" w:space="0"/>
              <w:bottom w:val="single" w:color="000000" w:sz="6" w:space="0"/>
              <w:right w:val="single" w:color="000000" w:sz="6" w:space="0"/>
            </w:tcBorders>
          </w:tcPr>
          <w:p>
            <w:pPr>
              <w:pStyle w:val="14"/>
              <w:spacing w:before="162"/>
              <w:ind w:left="108"/>
              <w:rPr>
                <w:rFonts w:hint="eastAsia" w:ascii="仿宋" w:eastAsia="仿宋"/>
                <w:sz w:val="24"/>
              </w:rPr>
            </w:pPr>
            <w:r>
              <w:rPr>
                <w:rFonts w:hint="eastAsia" w:ascii="仿宋" w:eastAsia="仿宋"/>
                <w:sz w:val="24"/>
              </w:rPr>
              <w:t>法定代表人</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62"/>
              <w:ind w:left="115"/>
              <w:rPr>
                <w:rFonts w:hint="eastAsia" w:ascii="仿宋" w:eastAsia="仿宋"/>
                <w:sz w:val="24"/>
                <w:lang w:eastAsia="zh-CN"/>
              </w:rPr>
            </w:pPr>
            <w:r>
              <w:rPr>
                <w:rFonts w:hint="eastAsia" w:ascii="仿宋" w:eastAsia="仿宋"/>
                <w:sz w:val="24"/>
                <w:lang w:eastAsia="zh-CN"/>
              </w:rPr>
              <w:t>贾风雷</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2"/>
              <w:ind w:left="115"/>
              <w:rPr>
                <w:rFonts w:hint="eastAsia" w:ascii="仿宋" w:eastAsia="仿宋"/>
                <w:sz w:val="24"/>
              </w:rPr>
            </w:pPr>
            <w:r>
              <w:rPr>
                <w:rFonts w:hint="eastAsia" w:ascii="仿宋" w:eastAsia="仿宋"/>
                <w:sz w:val="24"/>
              </w:rPr>
              <w:t>企业网址</w:t>
            </w:r>
          </w:p>
        </w:tc>
        <w:tc>
          <w:tcPr>
            <w:tcW w:w="3628" w:type="dxa"/>
            <w:tcBorders>
              <w:top w:val="single" w:color="000000" w:sz="6" w:space="0"/>
              <w:left w:val="single" w:color="000000" w:sz="6" w:space="0"/>
              <w:bottom w:val="single" w:color="000000" w:sz="6" w:space="0"/>
            </w:tcBorders>
          </w:tcPr>
          <w:p>
            <w:pPr>
              <w:pStyle w:val="14"/>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4"/>
              <w:spacing w:before="165"/>
              <w:ind w:left="108"/>
              <w:rPr>
                <w:rFonts w:hint="eastAsia" w:ascii="仿宋" w:eastAsia="仿宋"/>
                <w:sz w:val="24"/>
              </w:rPr>
            </w:pPr>
            <w:r>
              <w:rPr>
                <w:rFonts w:hint="eastAsia" w:ascii="仿宋" w:eastAsia="仿宋"/>
                <w:sz w:val="24"/>
              </w:rPr>
              <w:t>企业类别</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lang w:eastAsia="zh-CN"/>
              </w:rPr>
            </w:pPr>
            <w:r>
              <w:rPr>
                <w:rFonts w:hint="eastAsia" w:ascii="仿宋" w:eastAsia="仿宋"/>
                <w:sz w:val="24"/>
                <w:lang w:eastAsia="zh-CN"/>
              </w:rPr>
              <w:t>有限公司</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rPr>
            </w:pPr>
            <w:r>
              <w:rPr>
                <w:rFonts w:hint="eastAsia" w:ascii="仿宋" w:eastAsia="仿宋"/>
                <w:sz w:val="24"/>
              </w:rPr>
              <w:t>所属集团</w:t>
            </w:r>
          </w:p>
        </w:tc>
        <w:tc>
          <w:tcPr>
            <w:tcW w:w="3628" w:type="dxa"/>
            <w:tcBorders>
              <w:top w:val="single" w:color="000000" w:sz="6" w:space="0"/>
              <w:left w:val="single" w:color="000000" w:sz="6" w:space="0"/>
              <w:bottom w:val="single" w:color="000000" w:sz="6" w:space="0"/>
            </w:tcBorders>
          </w:tcPr>
          <w:p>
            <w:pPr>
              <w:pStyle w:val="14"/>
              <w:spacing w:before="165"/>
              <w:ind w:left="115"/>
              <w:rPr>
                <w:rFonts w:hint="eastAsia" w:ascii="仿宋" w:eastAsia="仿宋"/>
                <w:sz w:val="24"/>
                <w:lang w:eastAsia="zh-CN"/>
              </w:rPr>
            </w:pPr>
            <w:r>
              <w:rPr>
                <w:rFonts w:hint="eastAsia" w:ascii="仿宋" w:eastAsia="仿宋"/>
                <w:sz w:val="24"/>
                <w:lang w:eastAsia="zh-CN"/>
              </w:rPr>
              <w:t>山东石大胜华化工集团股份有限公司</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4"/>
              <w:spacing w:before="165"/>
              <w:ind w:left="108"/>
              <w:rPr>
                <w:rFonts w:hint="eastAsia" w:ascii="仿宋" w:eastAsia="仿宋"/>
                <w:sz w:val="24"/>
              </w:rPr>
            </w:pPr>
            <w:r>
              <w:rPr>
                <w:rFonts w:hint="eastAsia" w:ascii="仿宋" w:eastAsia="仿宋"/>
                <w:sz w:val="24"/>
              </w:rPr>
              <w:t>建成投产年月</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65"/>
              <w:ind w:left="115"/>
              <w:rPr>
                <w:rFonts w:hint="default" w:ascii="仿宋"/>
                <w:sz w:val="24"/>
                <w:lang w:val="en-US"/>
              </w:rPr>
            </w:pPr>
            <w:r>
              <w:rPr>
                <w:rFonts w:ascii="仿宋"/>
                <w:sz w:val="24"/>
              </w:rPr>
              <w:t>20</w:t>
            </w:r>
            <w:r>
              <w:rPr>
                <w:rFonts w:hint="eastAsia" w:ascii="仿宋"/>
                <w:sz w:val="24"/>
                <w:lang w:val="en-US" w:eastAsia="zh-CN"/>
              </w:rPr>
              <w:t>11.3</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rPr>
            </w:pPr>
            <w:r>
              <w:rPr>
                <w:rFonts w:hint="eastAsia" w:ascii="仿宋" w:eastAsia="仿宋"/>
                <w:sz w:val="24"/>
              </w:rPr>
              <w:t>管理级别</w:t>
            </w:r>
          </w:p>
        </w:tc>
        <w:tc>
          <w:tcPr>
            <w:tcW w:w="3628" w:type="dxa"/>
            <w:tcBorders>
              <w:top w:val="single" w:color="000000" w:sz="6" w:space="0"/>
              <w:left w:val="single" w:color="000000" w:sz="6" w:space="0"/>
              <w:bottom w:val="single" w:color="000000" w:sz="6" w:space="0"/>
            </w:tcBorders>
          </w:tcPr>
          <w:p>
            <w:pPr>
              <w:pStyle w:val="14"/>
              <w:spacing w:before="165"/>
              <w:ind w:left="115"/>
              <w:rPr>
                <w:rFonts w:hint="eastAsia" w:ascii="仿宋" w:eastAsia="仿宋"/>
                <w:sz w:val="24"/>
              </w:rPr>
            </w:pPr>
            <w:r>
              <w:rPr>
                <w:rFonts w:hint="eastAsia" w:ascii="仿宋" w:eastAsia="仿宋"/>
                <w:sz w:val="24"/>
              </w:rPr>
              <w:t>其它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845" w:type="dxa"/>
            <w:tcBorders>
              <w:top w:val="single" w:color="000000" w:sz="6" w:space="0"/>
              <w:bottom w:val="single" w:color="000000" w:sz="6" w:space="0"/>
              <w:right w:val="single" w:color="000000" w:sz="6" w:space="0"/>
            </w:tcBorders>
          </w:tcPr>
          <w:p>
            <w:pPr>
              <w:pStyle w:val="14"/>
              <w:spacing w:before="194"/>
              <w:ind w:left="108"/>
              <w:rPr>
                <w:rFonts w:hint="eastAsia" w:ascii="仿宋" w:eastAsia="仿宋"/>
                <w:sz w:val="24"/>
              </w:rPr>
            </w:pPr>
            <w:r>
              <w:rPr>
                <w:rFonts w:hint="eastAsia" w:ascii="仿宋" w:eastAsia="仿宋"/>
                <w:sz w:val="24"/>
                <w:lang w:eastAsia="zh-CN"/>
              </w:rPr>
              <w:t>排污</w:t>
            </w:r>
            <w:r>
              <w:rPr>
                <w:rFonts w:hint="eastAsia" w:ascii="仿宋" w:eastAsia="仿宋"/>
                <w:sz w:val="24"/>
              </w:rPr>
              <w:t>许可证编号</w:t>
            </w:r>
          </w:p>
        </w:tc>
        <w:tc>
          <w:tcPr>
            <w:tcW w:w="3415" w:type="dxa"/>
            <w:tcBorders>
              <w:top w:val="single" w:color="000000" w:sz="6" w:space="0"/>
              <w:left w:val="single" w:color="000000" w:sz="6" w:space="0"/>
              <w:bottom w:val="single" w:color="000000" w:sz="6" w:space="0"/>
              <w:right w:val="single" w:color="000000" w:sz="6" w:space="0"/>
            </w:tcBorders>
            <w:vAlign w:val="center"/>
          </w:tcPr>
          <w:p>
            <w:pPr>
              <w:pStyle w:val="14"/>
              <w:jc w:val="both"/>
              <w:rPr>
                <w:rFonts w:hint="default" w:ascii="Times New Roman" w:eastAsia="宋体"/>
                <w:sz w:val="24"/>
                <w:lang w:val="en-US" w:eastAsia="zh-CN"/>
              </w:rPr>
            </w:pPr>
            <w:r>
              <w:rPr>
                <w:rFonts w:hint="default" w:ascii="Times New Roman" w:hAnsi="Times New Roman" w:eastAsia="仿宋_GB2312" w:cs="Times New Roman"/>
                <w:color w:val="000000"/>
                <w:kern w:val="0"/>
                <w:sz w:val="24"/>
                <w:szCs w:val="24"/>
                <w:lang w:val="en-US" w:eastAsia="zh-CN"/>
              </w:rPr>
              <w:t>913705</w:t>
            </w:r>
            <w:r>
              <w:rPr>
                <w:rFonts w:hint="eastAsia" w:ascii="Times New Roman" w:hAnsi="Times New Roman" w:eastAsia="仿宋_GB2312" w:cs="Times New Roman"/>
                <w:color w:val="000000"/>
                <w:kern w:val="0"/>
                <w:sz w:val="24"/>
                <w:szCs w:val="24"/>
                <w:lang w:val="en-US" w:eastAsia="zh-CN"/>
              </w:rPr>
              <w:t>21664415399H001P</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35" w:line="310" w:lineRule="atLeast"/>
              <w:ind w:left="115" w:right="257"/>
              <w:rPr>
                <w:rFonts w:hint="eastAsia" w:ascii="仿宋" w:eastAsia="仿宋"/>
                <w:sz w:val="24"/>
              </w:rPr>
            </w:pPr>
            <w:r>
              <w:rPr>
                <w:rFonts w:hint="eastAsia" w:ascii="仿宋" w:eastAsia="仿宋"/>
                <w:sz w:val="24"/>
                <w:lang w:eastAsia="zh-CN"/>
              </w:rPr>
              <w:t>排污</w:t>
            </w:r>
            <w:r>
              <w:rPr>
                <w:rFonts w:hint="eastAsia" w:ascii="仿宋" w:eastAsia="仿宋"/>
                <w:sz w:val="24"/>
              </w:rPr>
              <w:t>许可证发证日期</w:t>
            </w:r>
          </w:p>
        </w:tc>
        <w:tc>
          <w:tcPr>
            <w:tcW w:w="3628" w:type="dxa"/>
            <w:tcBorders>
              <w:top w:val="single" w:color="000000" w:sz="6" w:space="0"/>
              <w:left w:val="single" w:color="000000" w:sz="6" w:space="0"/>
              <w:bottom w:val="single" w:color="000000" w:sz="6" w:space="0"/>
            </w:tcBorders>
            <w:vAlign w:val="center"/>
          </w:tcPr>
          <w:p>
            <w:pPr>
              <w:pStyle w:val="14"/>
              <w:jc w:val="center"/>
              <w:rPr>
                <w:rFonts w:hint="default" w:ascii="Times New Roman" w:eastAsia="宋体"/>
                <w:sz w:val="24"/>
                <w:lang w:val="en-US" w:eastAsia="zh-CN"/>
              </w:rPr>
            </w:pPr>
            <w:r>
              <w:rPr>
                <w:rFonts w:hint="eastAsia" w:ascii="Times New Roman"/>
                <w:sz w:val="24"/>
                <w:lang w:val="en-US" w:eastAsia="zh-CN"/>
              </w:rPr>
              <w:t>2020.07.14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3" w:hRule="atLeast"/>
        </w:trPr>
        <w:tc>
          <w:tcPr>
            <w:tcW w:w="1845" w:type="dxa"/>
            <w:vMerge w:val="restart"/>
            <w:tcBorders>
              <w:top w:val="single" w:color="000000" w:sz="6" w:space="0"/>
              <w:bottom w:val="single" w:color="000000" w:sz="6" w:space="0"/>
              <w:right w:val="single" w:color="000000" w:sz="6" w:space="0"/>
            </w:tcBorders>
          </w:tcPr>
          <w:p>
            <w:pPr>
              <w:pStyle w:val="14"/>
              <w:rPr>
                <w:rFonts w:ascii="Microsoft JhengHei"/>
                <w:b/>
                <w:sz w:val="24"/>
              </w:rPr>
            </w:pPr>
          </w:p>
          <w:p>
            <w:pPr>
              <w:pStyle w:val="14"/>
              <w:spacing w:before="11"/>
              <w:rPr>
                <w:rFonts w:ascii="Microsoft JhengHei"/>
                <w:b/>
                <w:sz w:val="19"/>
              </w:rPr>
            </w:pPr>
          </w:p>
          <w:p>
            <w:pPr>
              <w:pStyle w:val="14"/>
              <w:ind w:left="108"/>
              <w:rPr>
                <w:rFonts w:hint="eastAsia" w:ascii="仿宋" w:eastAsia="仿宋"/>
                <w:sz w:val="24"/>
              </w:rPr>
            </w:pPr>
            <w:r>
              <w:rPr>
                <w:rFonts w:hint="eastAsia" w:ascii="仿宋" w:eastAsia="仿宋"/>
                <w:sz w:val="24"/>
              </w:rPr>
              <w:t>控制级别</w:t>
            </w:r>
          </w:p>
        </w:tc>
        <w:tc>
          <w:tcPr>
            <w:tcW w:w="4278" w:type="dxa"/>
            <w:gridSpan w:val="2"/>
            <w:tcBorders>
              <w:top w:val="single" w:color="000000" w:sz="6" w:space="0"/>
              <w:left w:val="single" w:color="000000" w:sz="6" w:space="0"/>
              <w:bottom w:val="single" w:color="000000" w:sz="6" w:space="0"/>
              <w:right w:val="nil"/>
            </w:tcBorders>
          </w:tcPr>
          <w:p>
            <w:pPr>
              <w:pStyle w:val="14"/>
              <w:spacing w:before="154"/>
              <w:ind w:left="64"/>
              <w:rPr>
                <w:sz w:val="24"/>
              </w:rPr>
            </w:pPr>
            <w:r>
              <w:rPr>
                <w:rFonts w:hint="eastAsia" w:ascii="仿宋" w:hAnsi="仿宋" w:eastAsia="仿宋"/>
                <w:sz w:val="24"/>
              </w:rPr>
              <w:t>废气:</w:t>
            </w:r>
            <w:r>
              <w:rPr>
                <w:rFonts w:ascii="Wingdings 2" w:hAnsi="Wingdings 2" w:eastAsia="Wingdings 2"/>
                <w:sz w:val="24"/>
              </w:rPr>
              <w:t></w:t>
            </w:r>
            <w:r>
              <w:rPr>
                <w:sz w:val="24"/>
              </w:rPr>
              <w:t>国控</w:t>
            </w:r>
            <w:r>
              <w:rPr>
                <w:rFonts w:ascii="Wingdings 2" w:hAnsi="Wingdings 2" w:eastAsia="Wingdings 2"/>
                <w:sz w:val="24"/>
              </w:rPr>
              <w:t></w:t>
            </w:r>
            <w:r>
              <w:rPr>
                <w:sz w:val="24"/>
              </w:rPr>
              <w:t xml:space="preserve">省控 </w:t>
            </w:r>
            <w:r>
              <w:rPr>
                <w:rFonts w:ascii="Wingdings 2" w:hAnsi="Wingdings 2" w:eastAsia="Wingdings 2"/>
                <w:sz w:val="24"/>
              </w:rPr>
              <w:t></w:t>
            </w:r>
            <w:r>
              <w:rPr>
                <w:rFonts w:ascii="Times New Roman" w:hAnsi="Times New Roman" w:eastAsia="Times New Roman"/>
                <w:sz w:val="24"/>
              </w:rPr>
              <w:t xml:space="preserve"> </w:t>
            </w:r>
            <w:r>
              <w:rPr>
                <w:sz w:val="24"/>
              </w:rPr>
              <w:t>市控</w:t>
            </w:r>
            <w:r>
              <w:rPr>
                <w:rFonts w:ascii="Wingdings 2" w:hAnsi="Wingdings 2" w:eastAsia="Wingdings 2"/>
                <w:sz w:val="24"/>
              </w:rPr>
              <w:t></w:t>
            </w:r>
            <w:r>
              <w:rPr>
                <w:sz w:val="24"/>
              </w:rPr>
              <w:t>其它</w:t>
            </w:r>
          </w:p>
        </w:tc>
        <w:tc>
          <w:tcPr>
            <w:tcW w:w="4595" w:type="dxa"/>
            <w:gridSpan w:val="2"/>
            <w:tcBorders>
              <w:top w:val="single" w:color="000000" w:sz="6" w:space="0"/>
              <w:left w:val="nil"/>
              <w:bottom w:val="single" w:color="000000" w:sz="6" w:space="0"/>
            </w:tcBorders>
          </w:tcPr>
          <w:p>
            <w:pPr>
              <w:pStyle w:val="14"/>
              <w:spacing w:before="154"/>
              <w:ind w:left="158"/>
              <w:rPr>
                <w:sz w:val="24"/>
              </w:rPr>
            </w:pPr>
            <w:r>
              <w:rPr>
                <w:rFonts w:hint="eastAsia" w:ascii="仿宋" w:hAnsi="仿宋" w:eastAsia="仿宋"/>
                <w:sz w:val="24"/>
              </w:rPr>
              <w:t>废水:</w:t>
            </w:r>
            <w:r>
              <w:rPr>
                <w:rFonts w:ascii="Wingdings 2" w:hAnsi="Wingdings 2" w:eastAsia="Wingdings 2"/>
                <w:sz w:val="24"/>
              </w:rPr>
              <w:sym w:font="Wingdings 2" w:char="00A3"/>
            </w:r>
            <w:r>
              <w:rPr>
                <w:rFonts w:ascii="Times New Roman" w:hAnsi="Times New Roman" w:eastAsia="Times New Roman"/>
                <w:sz w:val="24"/>
              </w:rPr>
              <w:t xml:space="preserve"> </w:t>
            </w:r>
            <w:r>
              <w:rPr>
                <w:sz w:val="24"/>
              </w:rPr>
              <w:t>国控</w:t>
            </w:r>
            <w:r>
              <w:rPr>
                <w:rFonts w:ascii="Wingdings 2" w:hAnsi="Wingdings 2" w:eastAsia="Wingdings 2"/>
                <w:sz w:val="24"/>
              </w:rPr>
              <w:t></w:t>
            </w:r>
            <w:r>
              <w:rPr>
                <w:sz w:val="24"/>
              </w:rPr>
              <w:t>省控</w:t>
            </w:r>
            <w:r>
              <w:rPr>
                <w:rFonts w:ascii="Wingdings 2" w:hAnsi="Wingdings 2" w:eastAsia="Wingdings 2"/>
                <w:sz w:val="24"/>
              </w:rPr>
              <w:sym w:font="Wingdings 2" w:char="0052"/>
            </w:r>
            <w:r>
              <w:rPr>
                <w:sz w:val="24"/>
              </w:rPr>
              <w:t>市控</w:t>
            </w:r>
            <w:r>
              <w:rPr>
                <w:rFonts w:ascii="Wingdings 2" w:hAnsi="Wingdings 2" w:eastAsia="Wingdings 2"/>
                <w:sz w:val="24"/>
              </w:rPr>
              <w:sym w:font="Wingdings 2" w:char="00A3"/>
            </w:r>
            <w:r>
              <w:rPr>
                <w:sz w:val="24"/>
              </w:rPr>
              <w:t>其它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845" w:type="dxa"/>
            <w:vMerge w:val="continue"/>
            <w:tcBorders>
              <w:top w:val="nil"/>
              <w:bottom w:val="single" w:color="000000" w:sz="6" w:space="0"/>
              <w:right w:val="single" w:color="000000" w:sz="6" w:space="0"/>
            </w:tcBorders>
          </w:tcPr>
          <w:p>
            <w:pPr>
              <w:rPr>
                <w:sz w:val="2"/>
                <w:szCs w:val="2"/>
              </w:rPr>
            </w:pPr>
          </w:p>
        </w:tc>
        <w:tc>
          <w:tcPr>
            <w:tcW w:w="4278" w:type="dxa"/>
            <w:gridSpan w:val="2"/>
            <w:tcBorders>
              <w:top w:val="single" w:color="000000" w:sz="6" w:space="0"/>
              <w:left w:val="single" w:color="000000" w:sz="6" w:space="0"/>
              <w:bottom w:val="single" w:color="000000" w:sz="6" w:space="0"/>
              <w:right w:val="nil"/>
            </w:tcBorders>
          </w:tcPr>
          <w:p>
            <w:pPr>
              <w:pStyle w:val="14"/>
              <w:spacing w:before="185"/>
              <w:ind w:left="64"/>
              <w:rPr>
                <w:sz w:val="24"/>
              </w:rPr>
            </w:pPr>
            <w:r>
              <w:rPr>
                <w:rFonts w:hint="eastAsia" w:ascii="仿宋" w:hAnsi="仿宋" w:eastAsia="仿宋"/>
                <w:sz w:val="24"/>
              </w:rPr>
              <w:t>污水处理厂:</w:t>
            </w:r>
            <w:r>
              <w:rPr>
                <w:rFonts w:ascii="Wingdings 2" w:hAnsi="Wingdings 2" w:eastAsia="Wingdings 2"/>
                <w:sz w:val="24"/>
              </w:rPr>
              <w:t></w:t>
            </w:r>
            <w:r>
              <w:rPr>
                <w:sz w:val="24"/>
              </w:rPr>
              <w:t>国控</w:t>
            </w:r>
            <w:r>
              <w:rPr>
                <w:rFonts w:ascii="Wingdings 2" w:hAnsi="Wingdings 2" w:eastAsia="Wingdings 2"/>
                <w:sz w:val="24"/>
              </w:rPr>
              <w:t></w:t>
            </w:r>
            <w:r>
              <w:rPr>
                <w:sz w:val="24"/>
              </w:rPr>
              <w:t>省控</w:t>
            </w:r>
            <w:r>
              <w:rPr>
                <w:rFonts w:ascii="Wingdings 2" w:hAnsi="Wingdings 2" w:eastAsia="Wingdings 2"/>
                <w:sz w:val="24"/>
              </w:rPr>
              <w:t></w:t>
            </w:r>
            <w:r>
              <w:rPr>
                <w:sz w:val="24"/>
              </w:rPr>
              <w:t xml:space="preserve">市控 </w:t>
            </w:r>
            <w:r>
              <w:rPr>
                <w:rFonts w:ascii="Wingdings 2" w:hAnsi="Wingdings 2" w:eastAsia="Wingdings 2"/>
                <w:sz w:val="24"/>
              </w:rPr>
              <w:sym w:font="Wingdings 2" w:char="00A3"/>
            </w:r>
            <w:r>
              <w:rPr>
                <w:rFonts w:ascii="Times New Roman" w:hAnsi="Times New Roman" w:eastAsia="Times New Roman"/>
                <w:sz w:val="24"/>
              </w:rPr>
              <w:t xml:space="preserve"> </w:t>
            </w:r>
            <w:r>
              <w:rPr>
                <w:sz w:val="24"/>
              </w:rPr>
              <w:t>其它</w:t>
            </w:r>
          </w:p>
        </w:tc>
        <w:tc>
          <w:tcPr>
            <w:tcW w:w="4595" w:type="dxa"/>
            <w:gridSpan w:val="2"/>
            <w:tcBorders>
              <w:top w:val="single" w:color="000000" w:sz="6" w:space="0"/>
              <w:left w:val="nil"/>
              <w:bottom w:val="single" w:color="000000" w:sz="6" w:space="0"/>
            </w:tcBorders>
          </w:tcPr>
          <w:p>
            <w:pPr>
              <w:pStyle w:val="14"/>
              <w:spacing w:before="185"/>
              <w:ind w:left="158"/>
              <w:rPr>
                <w:sz w:val="24"/>
              </w:rPr>
            </w:pPr>
            <w:r>
              <w:rPr>
                <w:rFonts w:hint="eastAsia" w:ascii="仿宋" w:hAnsi="仿宋" w:eastAsia="仿宋"/>
                <w:sz w:val="24"/>
              </w:rPr>
              <w:t>重金属企业:</w:t>
            </w:r>
            <w:r>
              <w:rPr>
                <w:rFonts w:ascii="Wingdings 2" w:hAnsi="Wingdings 2" w:eastAsia="Wingdings 2"/>
                <w:sz w:val="24"/>
              </w:rPr>
              <w:t></w:t>
            </w:r>
            <w:r>
              <w:rPr>
                <w:sz w:val="24"/>
              </w:rPr>
              <w:t>国控</w:t>
            </w:r>
            <w:r>
              <w:rPr>
                <w:rFonts w:ascii="Wingdings 2" w:hAnsi="Wingdings 2" w:eastAsia="Wingdings 2"/>
                <w:sz w:val="24"/>
              </w:rPr>
              <w:t></w:t>
            </w:r>
            <w:r>
              <w:rPr>
                <w:sz w:val="24"/>
              </w:rPr>
              <w:t>省控</w:t>
            </w:r>
            <w:r>
              <w:rPr>
                <w:rFonts w:ascii="Wingdings 2" w:hAnsi="Wingdings 2" w:eastAsia="Wingdings 2"/>
                <w:sz w:val="24"/>
              </w:rPr>
              <w:t></w:t>
            </w:r>
            <w:r>
              <w:rPr>
                <w:sz w:val="24"/>
              </w:rPr>
              <w:t xml:space="preserve">市控 </w:t>
            </w:r>
            <w:r>
              <w:rPr>
                <w:rFonts w:ascii="Wingdings 2" w:hAnsi="Wingdings 2" w:eastAsia="Wingdings 2"/>
                <w:sz w:val="24"/>
              </w:rPr>
              <w:sym w:font="Wingdings 2" w:char="00A3"/>
            </w:r>
            <w:r>
              <w:rPr>
                <w:rFonts w:ascii="Times New Roman" w:hAnsi="Times New Roman" w:eastAsia="Times New Roman"/>
                <w:sz w:val="24"/>
              </w:rPr>
              <w:t xml:space="preserve"> </w:t>
            </w:r>
            <w:r>
              <w:rPr>
                <w:sz w:val="24"/>
              </w:rPr>
              <w:t>其它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845" w:type="dxa"/>
            <w:vMerge w:val="continue"/>
            <w:tcBorders>
              <w:top w:val="nil"/>
              <w:bottom w:val="single" w:color="000000" w:sz="6" w:space="0"/>
              <w:right w:val="single" w:color="000000" w:sz="6" w:space="0"/>
            </w:tcBorders>
          </w:tcPr>
          <w:p>
            <w:pPr>
              <w:rPr>
                <w:sz w:val="2"/>
                <w:szCs w:val="2"/>
              </w:rPr>
            </w:pPr>
          </w:p>
        </w:tc>
        <w:tc>
          <w:tcPr>
            <w:tcW w:w="4278" w:type="dxa"/>
            <w:gridSpan w:val="2"/>
            <w:tcBorders>
              <w:top w:val="single" w:color="000000" w:sz="6" w:space="0"/>
              <w:left w:val="single" w:color="000000" w:sz="6" w:space="0"/>
              <w:bottom w:val="single" w:color="000000" w:sz="6" w:space="0"/>
              <w:right w:val="nil"/>
            </w:tcBorders>
          </w:tcPr>
          <w:p>
            <w:pPr>
              <w:pStyle w:val="14"/>
              <w:spacing w:before="185"/>
              <w:ind w:left="64"/>
              <w:rPr>
                <w:sz w:val="24"/>
              </w:rPr>
            </w:pPr>
            <w:r>
              <w:rPr>
                <w:rFonts w:hint="eastAsia" w:ascii="仿宋" w:hAnsi="仿宋" w:eastAsia="仿宋"/>
                <w:sz w:val="24"/>
              </w:rPr>
              <w:t>危废企业:</w:t>
            </w:r>
            <w:r>
              <w:rPr>
                <w:rFonts w:ascii="Wingdings 2" w:hAnsi="Wingdings 2" w:eastAsia="Wingdings 2"/>
                <w:sz w:val="24"/>
              </w:rPr>
              <w:t></w:t>
            </w:r>
            <w:r>
              <w:rPr>
                <w:sz w:val="24"/>
              </w:rPr>
              <w:t>国控</w:t>
            </w:r>
            <w:r>
              <w:rPr>
                <w:rFonts w:ascii="Wingdings 2" w:hAnsi="Wingdings 2" w:eastAsia="Wingdings 2"/>
                <w:sz w:val="24"/>
              </w:rPr>
              <w:t></w:t>
            </w:r>
            <w:r>
              <w:rPr>
                <w:sz w:val="24"/>
              </w:rPr>
              <w:t>省控</w:t>
            </w:r>
            <w:r>
              <w:rPr>
                <w:rFonts w:ascii="Wingdings 2" w:hAnsi="Wingdings 2" w:eastAsia="Wingdings 2"/>
                <w:sz w:val="24"/>
              </w:rPr>
              <w:sym w:font="Wingdings 2" w:char="0052"/>
            </w:r>
            <w:r>
              <w:rPr>
                <w:sz w:val="24"/>
              </w:rPr>
              <w:t xml:space="preserve">市控 </w:t>
            </w:r>
            <w:r>
              <w:rPr>
                <w:rFonts w:ascii="Wingdings 2" w:hAnsi="Wingdings 2" w:eastAsia="Wingdings 2"/>
                <w:sz w:val="24"/>
              </w:rPr>
              <w:sym w:font="Wingdings 2" w:char="00A3"/>
            </w:r>
            <w:r>
              <w:rPr>
                <w:rFonts w:ascii="Times New Roman" w:hAnsi="Times New Roman" w:eastAsia="Times New Roman"/>
                <w:sz w:val="24"/>
              </w:rPr>
              <w:t xml:space="preserve"> </w:t>
            </w:r>
            <w:r>
              <w:rPr>
                <w:sz w:val="24"/>
              </w:rPr>
              <w:t>其它</w:t>
            </w:r>
          </w:p>
        </w:tc>
        <w:tc>
          <w:tcPr>
            <w:tcW w:w="4595" w:type="dxa"/>
            <w:gridSpan w:val="2"/>
            <w:tcBorders>
              <w:top w:val="single" w:color="000000" w:sz="6" w:space="0"/>
              <w:left w:val="nil"/>
              <w:bottom w:val="single" w:color="000000" w:sz="6" w:space="0"/>
            </w:tcBorders>
          </w:tcPr>
          <w:p>
            <w:pPr>
              <w:pStyle w:val="14"/>
              <w:spacing w:before="185"/>
              <w:ind w:left="158"/>
              <w:rPr>
                <w:sz w:val="24"/>
              </w:rPr>
            </w:pPr>
            <w:r>
              <w:rPr>
                <w:rFonts w:hint="eastAsia" w:ascii="仿宋" w:hAnsi="仿宋" w:eastAsia="仿宋"/>
                <w:sz w:val="24"/>
              </w:rPr>
              <w:t>畜牧化养殖:</w:t>
            </w:r>
            <w:r>
              <w:rPr>
                <w:rFonts w:ascii="Wingdings 2" w:hAnsi="Wingdings 2" w:eastAsia="Wingdings 2"/>
                <w:sz w:val="24"/>
              </w:rPr>
              <w:t></w:t>
            </w:r>
            <w:r>
              <w:rPr>
                <w:sz w:val="24"/>
              </w:rPr>
              <w:t>国控</w:t>
            </w:r>
            <w:r>
              <w:rPr>
                <w:rFonts w:ascii="Wingdings 2" w:hAnsi="Wingdings 2" w:eastAsia="Wingdings 2"/>
                <w:sz w:val="24"/>
              </w:rPr>
              <w:t></w:t>
            </w:r>
            <w:r>
              <w:rPr>
                <w:sz w:val="24"/>
              </w:rPr>
              <w:t>省控</w:t>
            </w:r>
            <w:r>
              <w:rPr>
                <w:rFonts w:ascii="Wingdings 2" w:hAnsi="Wingdings 2" w:eastAsia="Wingdings 2"/>
                <w:sz w:val="24"/>
              </w:rPr>
              <w:t></w:t>
            </w:r>
            <w:r>
              <w:rPr>
                <w:sz w:val="24"/>
              </w:rPr>
              <w:t xml:space="preserve">市控 </w:t>
            </w:r>
            <w:r>
              <w:rPr>
                <w:rFonts w:ascii="Wingdings 2" w:hAnsi="Wingdings 2" w:eastAsia="Wingdings 2"/>
                <w:sz w:val="24"/>
              </w:rPr>
              <w:sym w:font="Wingdings 2" w:char="00A3"/>
            </w:r>
            <w:r>
              <w:rPr>
                <w:rFonts w:ascii="Times New Roman" w:hAnsi="Times New Roman" w:eastAsia="Times New Roman"/>
                <w:sz w:val="24"/>
              </w:rPr>
              <w:t xml:space="preserve"> </w:t>
            </w:r>
            <w:r>
              <w:rPr>
                <w:sz w:val="24"/>
              </w:rPr>
              <w:t>其它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4"/>
              <w:spacing w:before="165"/>
              <w:ind w:left="108"/>
              <w:rPr>
                <w:rFonts w:hint="eastAsia" w:ascii="仿宋" w:eastAsia="仿宋"/>
                <w:sz w:val="24"/>
              </w:rPr>
            </w:pPr>
            <w:r>
              <w:rPr>
                <w:rFonts w:hint="eastAsia" w:ascii="仿宋" w:eastAsia="仿宋"/>
                <w:sz w:val="24"/>
              </w:rPr>
              <w:t>环保联系人</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rPr>
            </w:pPr>
            <w:r>
              <w:rPr>
                <w:rFonts w:hint="eastAsia" w:ascii="仿宋" w:eastAsia="仿宋"/>
                <w:sz w:val="24"/>
              </w:rPr>
              <w:t>王暖鹏</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rPr>
            </w:pPr>
            <w:r>
              <w:rPr>
                <w:rFonts w:hint="eastAsia" w:ascii="仿宋" w:eastAsia="仿宋"/>
                <w:sz w:val="24"/>
              </w:rPr>
              <w:t>联系电话</w:t>
            </w:r>
          </w:p>
        </w:tc>
        <w:tc>
          <w:tcPr>
            <w:tcW w:w="3628" w:type="dxa"/>
            <w:tcBorders>
              <w:top w:val="single" w:color="000000" w:sz="6" w:space="0"/>
              <w:left w:val="single" w:color="000000" w:sz="6" w:space="0"/>
              <w:bottom w:val="single" w:color="000000" w:sz="6" w:space="0"/>
            </w:tcBorders>
          </w:tcPr>
          <w:p>
            <w:pPr>
              <w:pStyle w:val="14"/>
              <w:spacing w:before="165"/>
              <w:ind w:left="115"/>
              <w:rPr>
                <w:rFonts w:ascii="仿宋"/>
                <w:sz w:val="24"/>
              </w:rPr>
            </w:pPr>
            <w:r>
              <w:rPr>
                <w:rFonts w:ascii="仿宋"/>
                <w:sz w:val="24"/>
              </w:rPr>
              <w:t>0546-2169087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4"/>
              <w:spacing w:before="165"/>
              <w:ind w:left="108"/>
              <w:rPr>
                <w:rFonts w:hint="eastAsia" w:ascii="仿宋" w:eastAsia="仿宋"/>
                <w:sz w:val="24"/>
              </w:rPr>
            </w:pPr>
            <w:r>
              <w:rPr>
                <w:rFonts w:hint="eastAsia" w:ascii="仿宋" w:eastAsia="仿宋"/>
                <w:sz w:val="24"/>
              </w:rPr>
              <w:t>传真</w:t>
            </w:r>
          </w:p>
        </w:tc>
        <w:tc>
          <w:tcPr>
            <w:tcW w:w="3415" w:type="dxa"/>
            <w:tcBorders>
              <w:top w:val="single" w:color="000000" w:sz="6" w:space="0"/>
              <w:left w:val="single" w:color="000000" w:sz="6" w:space="0"/>
              <w:bottom w:val="single" w:color="000000" w:sz="6" w:space="0"/>
              <w:right w:val="single" w:color="000000" w:sz="6" w:space="0"/>
            </w:tcBorders>
          </w:tcPr>
          <w:p>
            <w:pPr>
              <w:pStyle w:val="14"/>
              <w:rPr>
                <w:rFonts w:ascii="Times New Roman"/>
                <w:sz w:val="24"/>
              </w:rPr>
            </w:pP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rPr>
            </w:pPr>
            <w:r>
              <w:rPr>
                <w:rFonts w:hint="eastAsia" w:ascii="仿宋" w:eastAsia="仿宋"/>
                <w:sz w:val="24"/>
              </w:rPr>
              <w:t>联系人手机</w:t>
            </w:r>
          </w:p>
        </w:tc>
        <w:tc>
          <w:tcPr>
            <w:tcW w:w="3628" w:type="dxa"/>
            <w:tcBorders>
              <w:top w:val="single" w:color="000000" w:sz="6" w:space="0"/>
              <w:left w:val="single" w:color="000000" w:sz="6" w:space="0"/>
              <w:bottom w:val="single" w:color="000000" w:sz="6" w:space="0"/>
            </w:tcBorders>
          </w:tcPr>
          <w:p>
            <w:pPr>
              <w:pStyle w:val="14"/>
              <w:spacing w:before="165"/>
              <w:ind w:left="115"/>
              <w:rPr>
                <w:rFonts w:ascii="仿宋"/>
                <w:sz w:val="24"/>
              </w:rPr>
            </w:pPr>
            <w:r>
              <w:rPr>
                <w:rFonts w:ascii="仿宋"/>
                <w:sz w:val="24"/>
              </w:rPr>
              <w:t>18554697719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4"/>
              <w:spacing w:before="165"/>
              <w:ind w:left="108"/>
              <w:rPr>
                <w:rFonts w:hint="eastAsia" w:ascii="仿宋" w:eastAsia="仿宋"/>
                <w:sz w:val="24"/>
              </w:rPr>
            </w:pPr>
            <w:r>
              <w:rPr>
                <w:rFonts w:hint="eastAsia" w:ascii="仿宋" w:eastAsia="仿宋"/>
                <w:sz w:val="24"/>
              </w:rPr>
              <w:t>电子邮箱</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65"/>
              <w:ind w:left="115"/>
              <w:rPr>
                <w:rFonts w:ascii="仿宋"/>
                <w:sz w:val="24"/>
              </w:rPr>
            </w:pPr>
            <w:r>
              <w:fldChar w:fldCharType="begin"/>
            </w:r>
            <w:r>
              <w:instrText xml:space="preserve"> HYPERLINK "mailto:wang.n.p@163.com" \h </w:instrText>
            </w:r>
            <w:r>
              <w:fldChar w:fldCharType="separate"/>
            </w:r>
            <w:r>
              <w:rPr>
                <w:rFonts w:ascii="仿宋"/>
                <w:sz w:val="24"/>
              </w:rPr>
              <w:t>wang.n.p@163.com</w:t>
            </w:r>
            <w:r>
              <w:rPr>
                <w:rFonts w:ascii="仿宋"/>
                <w:sz w:val="24"/>
              </w:rPr>
              <w:fldChar w:fldCharType="end"/>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rPr>
                <w:rFonts w:ascii="Times New Roman"/>
                <w:sz w:val="24"/>
              </w:rPr>
            </w:pPr>
          </w:p>
        </w:tc>
        <w:tc>
          <w:tcPr>
            <w:tcW w:w="3628" w:type="dxa"/>
            <w:tcBorders>
              <w:top w:val="single" w:color="000000" w:sz="6" w:space="0"/>
              <w:left w:val="single" w:color="000000" w:sz="6" w:space="0"/>
              <w:bottom w:val="single" w:color="000000" w:sz="6" w:space="0"/>
            </w:tcBorders>
          </w:tcPr>
          <w:p>
            <w:pPr>
              <w:pStyle w:val="14"/>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71" w:hRule="atLeast"/>
        </w:trPr>
        <w:tc>
          <w:tcPr>
            <w:tcW w:w="1845" w:type="dxa"/>
            <w:tcBorders>
              <w:top w:val="single" w:color="000000" w:sz="6" w:space="0"/>
              <w:bottom w:val="single" w:color="000000" w:sz="6" w:space="0"/>
              <w:right w:val="single" w:color="000000" w:sz="6" w:space="0"/>
            </w:tcBorders>
          </w:tcPr>
          <w:p>
            <w:pPr>
              <w:pStyle w:val="14"/>
              <w:rPr>
                <w:rFonts w:ascii="Microsoft JhengHei"/>
                <w:b/>
                <w:sz w:val="24"/>
              </w:rPr>
            </w:pPr>
          </w:p>
          <w:p>
            <w:pPr>
              <w:pStyle w:val="14"/>
              <w:spacing w:before="8"/>
              <w:rPr>
                <w:rFonts w:ascii="Microsoft JhengHei"/>
                <w:b/>
                <w:sz w:val="20"/>
              </w:rPr>
            </w:pPr>
          </w:p>
          <w:p>
            <w:pPr>
              <w:pStyle w:val="14"/>
              <w:ind w:left="108"/>
              <w:rPr>
                <w:rFonts w:hint="eastAsia" w:ascii="仿宋" w:eastAsia="仿宋"/>
                <w:sz w:val="24"/>
              </w:rPr>
            </w:pPr>
            <w:r>
              <w:rPr>
                <w:rFonts w:hint="eastAsia" w:ascii="仿宋" w:eastAsia="仿宋"/>
                <w:sz w:val="24"/>
              </w:rPr>
              <w:t>企业生产情况</w:t>
            </w:r>
          </w:p>
        </w:tc>
        <w:tc>
          <w:tcPr>
            <w:tcW w:w="8873" w:type="dxa"/>
            <w:gridSpan w:val="4"/>
            <w:tcBorders>
              <w:top w:val="single" w:color="000000" w:sz="6" w:space="0"/>
              <w:left w:val="single" w:color="000000" w:sz="6" w:space="0"/>
              <w:bottom w:val="single" w:color="000000" w:sz="6" w:space="0"/>
            </w:tcBorders>
          </w:tcPr>
          <w:p>
            <w:pPr>
              <w:pStyle w:val="19"/>
              <w:spacing w:line="360" w:lineRule="auto"/>
              <w:ind w:firstLine="480" w:firstLineChars="200"/>
              <w:jc w:val="left"/>
              <w:rPr>
                <w:rFonts w:hint="eastAsia" w:ascii="仿宋" w:hAnsi="宋体" w:eastAsia="仿宋" w:cs="宋体"/>
                <w:kern w:val="0"/>
                <w:sz w:val="24"/>
                <w:szCs w:val="22"/>
                <w:lang w:val="zh-CN" w:eastAsia="zh-CN" w:bidi="zh-CN"/>
              </w:rPr>
            </w:pPr>
            <w:r>
              <w:rPr>
                <w:rFonts w:hint="eastAsia" w:ascii="仿宋" w:hAnsi="宋体" w:eastAsia="仿宋" w:cs="宋体"/>
                <w:kern w:val="0"/>
                <w:sz w:val="24"/>
                <w:szCs w:val="22"/>
                <w:lang w:val="zh-CN" w:eastAsia="zh-CN" w:bidi="zh-CN"/>
              </w:rPr>
              <w:t>东营中石大工贸有限公司成立于2006年3月，隶属于中国石油大学，是石油大学的骨干公司。公司位于黄河三角洲的中心城市东营市，占地面积1*105m2,注册资金608.4万元。</w:t>
            </w:r>
          </w:p>
          <w:p>
            <w:pPr>
              <w:pStyle w:val="19"/>
              <w:spacing w:line="360" w:lineRule="auto"/>
              <w:ind w:firstLine="480" w:firstLineChars="200"/>
              <w:jc w:val="left"/>
              <w:rPr>
                <w:rFonts w:hint="eastAsia" w:ascii="仿宋" w:hAnsi="宋体" w:eastAsia="仿宋" w:cs="宋体"/>
                <w:kern w:val="0"/>
                <w:sz w:val="24"/>
                <w:szCs w:val="22"/>
                <w:lang w:val="zh-CN" w:eastAsia="zh-CN" w:bidi="zh-CN"/>
              </w:rPr>
            </w:pPr>
            <w:r>
              <w:rPr>
                <w:rFonts w:hint="eastAsia" w:ascii="仿宋" w:hAnsi="宋体" w:eastAsia="仿宋" w:cs="宋体"/>
                <w:kern w:val="0"/>
                <w:sz w:val="24"/>
                <w:szCs w:val="22"/>
                <w:lang w:val="zh-CN" w:eastAsia="zh-CN" w:bidi="zh-CN"/>
              </w:rPr>
              <w:t>项目产品碳酸乙烯酯是绿色环保产品，主要是用于锂离子电池电解液的生产，供应电动汽车等的生产，公司目前已建3000吨/年电池级碳酸乙烯酯装置及20000吨/年电池级碳酸乙烯酯装置，随着下游产品的开发不断深入，碳酸乙烯酯的需求呈现快速上涨趋势，集中体现在锂电行业、化工行业上。2010年国内碳酸乙烯酯的需求量大约为30000t；2011年总需求量上升50%,需求总量达到45000t；以25%的增长速度计算，2012年国内碳酸乙烯酯的总需求量将达到56250t，总体市场会表现出供不应求现象。所有项目均严格按照《中华人民共和国环境保护法》、《建设项目环境保护管理办法》及“三同时”制度的要求，具备相关环评及验收手续，目前各装置均正常生产。</w:t>
            </w:r>
          </w:p>
          <w:p>
            <w:pPr>
              <w:spacing w:line="360" w:lineRule="auto"/>
              <w:ind w:firstLine="480" w:firstLineChars="200"/>
              <w:jc w:val="left"/>
              <w:rPr>
                <w:rFonts w:hint="eastAsia" w:ascii="仿宋" w:eastAsia="仿宋"/>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71" w:hRule="atLeast"/>
        </w:trPr>
        <w:tc>
          <w:tcPr>
            <w:tcW w:w="1845" w:type="dxa"/>
            <w:tcBorders>
              <w:top w:val="single" w:color="000000" w:sz="6" w:space="0"/>
              <w:bottom w:val="single" w:color="000000" w:sz="6" w:space="0"/>
              <w:right w:val="single" w:color="000000" w:sz="6" w:space="0"/>
            </w:tcBorders>
          </w:tcPr>
          <w:p>
            <w:pPr>
              <w:pStyle w:val="7"/>
              <w:spacing w:before="1" w:line="242" w:lineRule="auto"/>
              <w:ind w:left="242" w:right="38"/>
            </w:pPr>
            <w:r>
              <w:t>企业污染治理情况</w:t>
            </w:r>
          </w:p>
          <w:p>
            <w:pPr>
              <w:pStyle w:val="14"/>
              <w:ind w:left="108"/>
              <w:rPr>
                <w:rFonts w:hint="eastAsia" w:ascii="仿宋" w:eastAsia="仿宋"/>
                <w:sz w:val="24"/>
              </w:rPr>
            </w:pPr>
          </w:p>
        </w:tc>
        <w:tc>
          <w:tcPr>
            <w:tcW w:w="8873" w:type="dxa"/>
            <w:gridSpan w:val="4"/>
            <w:tcBorders>
              <w:top w:val="single" w:color="000000" w:sz="6" w:space="0"/>
              <w:left w:val="single" w:color="000000" w:sz="6" w:space="0"/>
              <w:bottom w:val="single" w:color="000000" w:sz="6" w:space="0"/>
            </w:tcBorders>
          </w:tcPr>
          <w:p>
            <w:pPr>
              <w:spacing w:line="500" w:lineRule="exact"/>
              <w:ind w:firstLine="480" w:firstLineChars="200"/>
              <w:rPr>
                <w:rFonts w:hint="eastAsia" w:ascii="仿宋" w:hAnsi="宋体" w:eastAsia="仿宋" w:cs="宋体"/>
                <w:kern w:val="0"/>
                <w:sz w:val="24"/>
                <w:szCs w:val="22"/>
                <w:lang w:val="zh-CN" w:eastAsia="zh-CN" w:bidi="zh-CN"/>
              </w:rPr>
            </w:pPr>
            <w:r>
              <w:rPr>
                <w:rFonts w:hint="eastAsia" w:ascii="仿宋" w:hAnsi="宋体" w:eastAsia="仿宋" w:cs="宋体"/>
                <w:kern w:val="0"/>
                <w:sz w:val="24"/>
                <w:szCs w:val="22"/>
                <w:lang w:val="zh-CN" w:eastAsia="zh-CN" w:bidi="zh-CN"/>
              </w:rPr>
              <w:t>我公司产生的生活废水、地面冲洗水及初期雨水首先经沉淀后，通过污水提升泵进入东营博川水务环保有限公司进行处理。雨水排口依托山东石大胜华化工集团股份有限公司垦利分公司雨水排口。</w:t>
            </w:r>
          </w:p>
          <w:p>
            <w:pPr>
              <w:spacing w:line="360" w:lineRule="auto"/>
              <w:ind w:firstLine="464" w:firstLineChars="200"/>
              <w:jc w:val="left"/>
              <w:rPr>
                <w:rFonts w:hint="eastAsia" w:ascii="仿宋" w:hAnsi="仿宋" w:eastAsia="仿宋" w:cs="仿宋"/>
                <w:spacing w:val="-4"/>
                <w:sz w:val="24"/>
                <w:szCs w:val="24"/>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3" w:hRule="atLeast"/>
        </w:trPr>
        <w:tc>
          <w:tcPr>
            <w:tcW w:w="1845" w:type="dxa"/>
            <w:tcBorders>
              <w:top w:val="single" w:color="000000" w:sz="6" w:space="0"/>
              <w:right w:val="single" w:color="000000" w:sz="6" w:space="0"/>
            </w:tcBorders>
          </w:tcPr>
          <w:p>
            <w:pPr>
              <w:pStyle w:val="14"/>
              <w:ind w:left="108"/>
              <w:rPr>
                <w:rFonts w:hint="eastAsia" w:ascii="仿宋" w:eastAsia="仿宋"/>
                <w:sz w:val="24"/>
              </w:rPr>
            </w:pPr>
            <w:r>
              <w:rPr>
                <w:rFonts w:hint="eastAsia" w:ascii="仿宋" w:eastAsia="仿宋"/>
                <w:sz w:val="24"/>
              </w:rPr>
              <w:t>备注</w:t>
            </w:r>
          </w:p>
        </w:tc>
        <w:tc>
          <w:tcPr>
            <w:tcW w:w="8873" w:type="dxa"/>
            <w:gridSpan w:val="4"/>
            <w:tcBorders>
              <w:top w:val="single" w:color="000000" w:sz="6" w:space="0"/>
              <w:left w:val="single" w:color="000000" w:sz="6" w:space="0"/>
            </w:tcBorders>
          </w:tcPr>
          <w:p>
            <w:pPr>
              <w:spacing w:line="360" w:lineRule="auto"/>
              <w:ind w:firstLine="480" w:firstLineChars="200"/>
              <w:jc w:val="left"/>
              <w:rPr>
                <w:rFonts w:hint="eastAsia" w:ascii="仿宋" w:hAnsi="仿宋" w:eastAsia="仿宋" w:cs="仿宋"/>
                <w:spacing w:val="-4"/>
                <w:sz w:val="24"/>
                <w:szCs w:val="24"/>
                <w:lang w:val="en-US" w:eastAsia="zh-CN" w:bidi="zh-CN"/>
              </w:rPr>
            </w:pPr>
            <w:r>
              <w:rPr>
                <w:rFonts w:hint="eastAsia" w:ascii="仿宋" w:hAnsi="宋体" w:eastAsia="仿宋" w:cs="宋体"/>
                <w:sz w:val="24"/>
                <w:szCs w:val="22"/>
                <w:lang w:val="zh-CN" w:eastAsia="zh-CN" w:bidi="zh-CN"/>
              </w:rPr>
              <w:t>我公司积极主动开展固定污染源例行监测，按照排污单位自行监测技术指南、排污许可证自行监测要求委托社会生态环境监测机构开展监测。我公司还开展泄露点监测和修复，设备与管线组件动静密封点挥发性有机物检测按照相关标准执行，其中泵（轴封）、压缩机（轴封）、搅拌器（轴封）、阀门、泄压设备（安全阀）、取样连接系统、开口阀或开口管线每季度一次，法兰、连接件、其他每半年一次。同时为保证自动监控设施的运维质量，我公司于每季度开展一次自动监控设备的比对监测。</w:t>
            </w:r>
          </w:p>
        </w:tc>
      </w:tr>
    </w:tbl>
    <w:p>
      <w:pPr>
        <w:spacing w:after="0" w:line="254" w:lineRule="exact"/>
        <w:rPr>
          <w:rFonts w:hint="eastAsia" w:ascii="仿宋" w:eastAsia="仿宋"/>
          <w:sz w:val="24"/>
        </w:rPr>
        <w:sectPr>
          <w:pgSz w:w="11910" w:h="16840"/>
          <w:pgMar w:top="1580" w:right="460" w:bottom="280" w:left="460" w:header="720" w:footer="720" w:gutter="0"/>
          <w:pgBorders>
            <w:top w:val="none" w:sz="0" w:space="0"/>
            <w:left w:val="none" w:sz="0" w:space="0"/>
            <w:bottom w:val="none" w:sz="0" w:space="0"/>
            <w:right w:val="none" w:sz="0" w:space="0"/>
          </w:pgBorders>
        </w:sectPr>
      </w:pPr>
    </w:p>
    <w:p>
      <w:pPr>
        <w:pStyle w:val="7"/>
        <w:rPr>
          <w:rFonts w:ascii="Microsoft JhengHei"/>
          <w:b/>
        </w:rPr>
      </w:pPr>
    </w:p>
    <w:p>
      <w:pPr>
        <w:pStyle w:val="3"/>
        <w:spacing w:line="521" w:lineRule="exact"/>
        <w:ind w:left="720"/>
      </w:pPr>
      <w:r>
        <w:t>二、监测内容</w:t>
      </w:r>
    </w:p>
    <w:tbl>
      <w:tblPr>
        <w:tblStyle w:val="8"/>
        <w:tblpPr w:leftFromText="180" w:rightFromText="180" w:vertAnchor="text" w:horzAnchor="page" w:tblpX="801" w:tblpY="771"/>
        <w:tblOverlap w:val="never"/>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7"/>
        <w:gridCol w:w="1874"/>
        <w:gridCol w:w="1966"/>
        <w:gridCol w:w="1405"/>
        <w:gridCol w:w="2654"/>
        <w:gridCol w:w="1408"/>
        <w:gridCol w:w="2095"/>
        <w:gridCol w:w="1497"/>
        <w:gridCol w:w="23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5" w:hRule="atLeast"/>
        </w:trPr>
        <w:tc>
          <w:tcPr>
            <w:tcW w:w="2271" w:type="dxa"/>
            <w:gridSpan w:val="2"/>
            <w:tcBorders>
              <w:left w:val="single" w:color="000000" w:sz="12" w:space="0"/>
              <w:bottom w:val="single" w:color="auto" w:sz="4" w:space="0"/>
            </w:tcBorders>
          </w:tcPr>
          <w:p>
            <w:pPr>
              <w:pStyle w:val="14"/>
              <w:spacing w:line="358" w:lineRule="exact"/>
              <w:ind w:left="1075"/>
              <w:rPr>
                <w:rFonts w:hint="eastAsia" w:ascii="Microsoft JhengHei" w:eastAsia="Microsoft JhengHei"/>
                <w:b/>
                <w:sz w:val="24"/>
              </w:rPr>
            </w:pPr>
            <w:r>
              <w:rPr>
                <w:rFonts w:hint="eastAsia" w:ascii="Microsoft JhengHei" w:eastAsia="Microsoft JhengHei"/>
                <w:b/>
                <w:sz w:val="24"/>
              </w:rPr>
              <w:t>监测项目</w:t>
            </w:r>
          </w:p>
          <w:p>
            <w:pPr>
              <w:pStyle w:val="14"/>
              <w:spacing w:line="343" w:lineRule="exact"/>
              <w:ind w:left="108"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监测内容</w:t>
            </w:r>
          </w:p>
        </w:tc>
        <w:tc>
          <w:tcPr>
            <w:tcW w:w="1966" w:type="dxa"/>
            <w:vAlign w:val="top"/>
          </w:tcPr>
          <w:p>
            <w:pPr>
              <w:pStyle w:val="14"/>
              <w:spacing w:before="137"/>
              <w:ind w:left="130" w:leftChars="0" w:right="100"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监测点位</w:t>
            </w:r>
          </w:p>
        </w:tc>
        <w:tc>
          <w:tcPr>
            <w:tcW w:w="1405" w:type="dxa"/>
            <w:vAlign w:val="top"/>
          </w:tcPr>
          <w:p>
            <w:pPr>
              <w:pStyle w:val="14"/>
              <w:spacing w:before="137"/>
              <w:ind w:left="230"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监测频次</w:t>
            </w:r>
          </w:p>
        </w:tc>
        <w:tc>
          <w:tcPr>
            <w:tcW w:w="2654" w:type="dxa"/>
            <w:vAlign w:val="top"/>
          </w:tcPr>
          <w:p>
            <w:pPr>
              <w:pStyle w:val="14"/>
              <w:spacing w:before="137"/>
              <w:ind w:left="614"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执行排放标准</w:t>
            </w:r>
          </w:p>
        </w:tc>
        <w:tc>
          <w:tcPr>
            <w:tcW w:w="1408" w:type="dxa"/>
            <w:vAlign w:val="top"/>
          </w:tcPr>
          <w:p>
            <w:pPr>
              <w:pStyle w:val="14"/>
              <w:spacing w:before="137"/>
              <w:ind w:left="120" w:leftChars="0" w:right="121"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标准限值</w:t>
            </w:r>
          </w:p>
        </w:tc>
        <w:tc>
          <w:tcPr>
            <w:tcW w:w="2095" w:type="dxa"/>
            <w:vAlign w:val="top"/>
          </w:tcPr>
          <w:p>
            <w:pPr>
              <w:pStyle w:val="14"/>
              <w:spacing w:before="137"/>
              <w:ind w:left="446"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监测方法</w:t>
            </w:r>
          </w:p>
        </w:tc>
        <w:tc>
          <w:tcPr>
            <w:tcW w:w="1497" w:type="dxa"/>
            <w:vAlign w:val="top"/>
          </w:tcPr>
          <w:p>
            <w:pPr>
              <w:pStyle w:val="14"/>
              <w:spacing w:before="137"/>
              <w:ind w:left="96" w:leftChars="0" w:right="98"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分析仪器</w:t>
            </w:r>
          </w:p>
        </w:tc>
        <w:tc>
          <w:tcPr>
            <w:tcW w:w="2318" w:type="dxa"/>
            <w:tcBorders>
              <w:right w:val="single" w:color="000000" w:sz="12" w:space="0"/>
            </w:tcBorders>
            <w:vAlign w:val="top"/>
          </w:tcPr>
          <w:p>
            <w:pPr>
              <w:pStyle w:val="14"/>
              <w:spacing w:before="137"/>
              <w:ind w:left="633" w:leftChars="0" w:right="629"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0" w:hRule="atLeast"/>
        </w:trPr>
        <w:tc>
          <w:tcPr>
            <w:tcW w:w="397" w:type="dxa"/>
            <w:vMerge w:val="restart"/>
            <w:tcBorders>
              <w:left w:val="single" w:color="000000" w:sz="12" w:space="0"/>
            </w:tcBorders>
          </w:tcPr>
          <w:p>
            <w:pPr>
              <w:pStyle w:val="14"/>
              <w:spacing w:before="10" w:line="249" w:lineRule="auto"/>
              <w:ind w:left="108" w:right="24"/>
              <w:rPr>
                <w:sz w:val="24"/>
              </w:rPr>
            </w:pPr>
          </w:p>
        </w:tc>
        <w:tc>
          <w:tcPr>
            <w:tcW w:w="1874" w:type="dxa"/>
            <w:vAlign w:val="top"/>
          </w:tcPr>
          <w:p>
            <w:pPr>
              <w:pStyle w:val="14"/>
              <w:spacing w:before="17"/>
              <w:rPr>
                <w:rFonts w:ascii="Microsoft JhengHei"/>
                <w:b/>
                <w:sz w:val="17"/>
              </w:rPr>
            </w:pPr>
          </w:p>
          <w:p>
            <w:pPr>
              <w:pStyle w:val="14"/>
              <w:ind w:left="30" w:leftChars="0" w:right="0" w:rightChars="0"/>
              <w:jc w:val="center"/>
              <w:rPr>
                <w:rFonts w:hint="eastAsia" w:ascii="宋体" w:hAnsi="宋体" w:eastAsia="宋体" w:cs="宋体"/>
                <w:sz w:val="24"/>
                <w:szCs w:val="22"/>
                <w:lang w:val="zh-CN" w:eastAsia="zh-CN" w:bidi="zh-CN"/>
              </w:rPr>
            </w:pPr>
            <w:r>
              <w:rPr>
                <w:rFonts w:hint="eastAsia"/>
                <w:sz w:val="24"/>
                <w:lang w:eastAsia="zh-CN"/>
              </w:rPr>
              <w:t>挥发性有机物</w:t>
            </w:r>
          </w:p>
        </w:tc>
        <w:tc>
          <w:tcPr>
            <w:tcW w:w="1966" w:type="dxa"/>
            <w:vAlign w:val="top"/>
          </w:tcPr>
          <w:p>
            <w:pPr>
              <w:ind w:left="0" w:leftChars="0" w:right="0" w:rightChars="0"/>
              <w:jc w:val="center"/>
              <w:rPr>
                <w:rFonts w:hint="eastAsia"/>
                <w:sz w:val="24"/>
                <w:lang w:eastAsia="zh-CN"/>
              </w:rPr>
            </w:pPr>
          </w:p>
          <w:p>
            <w:pPr>
              <w:ind w:left="0" w:leftChars="0" w:right="0" w:rightChars="0"/>
              <w:jc w:val="center"/>
              <w:rPr>
                <w:rFonts w:hint="eastAsia" w:ascii="宋体" w:hAnsi="宋体" w:eastAsia="宋体" w:cs="宋体"/>
                <w:sz w:val="24"/>
                <w:szCs w:val="22"/>
                <w:lang w:val="zh-CN" w:eastAsia="zh-CN" w:bidi="zh-CN"/>
              </w:rPr>
            </w:pPr>
            <w:r>
              <w:rPr>
                <w:rFonts w:hint="eastAsia"/>
                <w:sz w:val="24"/>
                <w:lang w:eastAsia="zh-CN"/>
              </w:rPr>
              <w:t>厂界</w:t>
            </w:r>
          </w:p>
        </w:tc>
        <w:tc>
          <w:tcPr>
            <w:tcW w:w="1405" w:type="dxa"/>
            <w:vAlign w:val="top"/>
          </w:tcPr>
          <w:p>
            <w:pPr>
              <w:pStyle w:val="14"/>
              <w:spacing w:before="17"/>
              <w:rPr>
                <w:rFonts w:ascii="Microsoft JhengHei"/>
                <w:b/>
                <w:sz w:val="17"/>
              </w:rPr>
            </w:pPr>
          </w:p>
          <w:p>
            <w:pPr>
              <w:pStyle w:val="14"/>
              <w:ind w:left="149" w:leftChars="0" w:right="119" w:rightChars="0"/>
              <w:jc w:val="center"/>
              <w:rPr>
                <w:rFonts w:ascii="宋体" w:hAnsi="宋体" w:eastAsia="宋体" w:cs="宋体"/>
                <w:sz w:val="24"/>
                <w:szCs w:val="22"/>
                <w:lang w:val="zh-CN" w:eastAsia="zh-CN" w:bidi="zh-CN"/>
              </w:rPr>
            </w:pPr>
            <w:r>
              <w:rPr>
                <w:sz w:val="24"/>
              </w:rPr>
              <w:t>1 季度/次</w:t>
            </w:r>
          </w:p>
        </w:tc>
        <w:tc>
          <w:tcPr>
            <w:tcW w:w="2654" w:type="dxa"/>
            <w:vAlign w:val="top"/>
          </w:tcPr>
          <w:p>
            <w:pPr>
              <w:pStyle w:val="14"/>
              <w:spacing w:line="290" w:lineRule="exact"/>
              <w:ind w:left="132" w:leftChars="0" w:right="102" w:rightChars="0"/>
              <w:jc w:val="center"/>
              <w:rPr>
                <w:rFonts w:hint="default" w:ascii="宋体" w:hAnsi="宋体" w:eastAsia="宋体" w:cs="宋体"/>
                <w:sz w:val="24"/>
                <w:szCs w:val="22"/>
                <w:lang w:val="en-US" w:eastAsia="zh-CN" w:bidi="zh-CN"/>
              </w:rPr>
            </w:pPr>
            <w:r>
              <w:rPr>
                <w:rFonts w:hint="eastAsia"/>
                <w:sz w:val="24"/>
                <w:lang w:eastAsia="zh-CN"/>
              </w:rPr>
              <w:t>挥发性有机物排放标准</w:t>
            </w:r>
            <w:r>
              <w:rPr>
                <w:rFonts w:hint="eastAsia"/>
                <w:sz w:val="24"/>
                <w:lang w:val="en-US" w:eastAsia="zh-CN"/>
              </w:rPr>
              <w:t xml:space="preserve"> 第6部分 有机化工行业DB37/2801.6-2018</w:t>
            </w:r>
          </w:p>
        </w:tc>
        <w:tc>
          <w:tcPr>
            <w:tcW w:w="1408" w:type="dxa"/>
            <w:vAlign w:val="top"/>
          </w:tcPr>
          <w:p>
            <w:pPr>
              <w:pStyle w:val="14"/>
              <w:spacing w:before="17"/>
              <w:rPr>
                <w:rFonts w:ascii="Microsoft JhengHei"/>
                <w:b/>
                <w:sz w:val="17"/>
              </w:rPr>
            </w:pPr>
          </w:p>
          <w:p>
            <w:pPr>
              <w:pStyle w:val="14"/>
              <w:ind w:left="171" w:leftChars="0" w:right="0" w:rightChars="0"/>
              <w:rPr>
                <w:rFonts w:ascii="宋体" w:hAnsi="宋体" w:eastAsia="宋体" w:cs="宋体"/>
                <w:sz w:val="24"/>
                <w:szCs w:val="22"/>
                <w:lang w:val="zh-CN" w:eastAsia="zh-CN" w:bidi="zh-CN"/>
              </w:rPr>
            </w:pPr>
            <w:r>
              <w:rPr>
                <w:sz w:val="24"/>
              </w:rPr>
              <w:t>2 mg/m3</w:t>
            </w:r>
          </w:p>
        </w:tc>
        <w:tc>
          <w:tcPr>
            <w:tcW w:w="2095" w:type="dxa"/>
            <w:vAlign w:val="top"/>
          </w:tcPr>
          <w:p>
            <w:pPr>
              <w:adjustRightInd w:val="0"/>
              <w:snapToGrid w:val="0"/>
              <w:jc w:val="center"/>
              <w:rPr>
                <w:rFonts w:hint="default" w:ascii="宋体" w:hAnsi="宋体" w:eastAsia="宋体" w:cs="宋体"/>
                <w:sz w:val="24"/>
                <w:szCs w:val="22"/>
                <w:lang w:val="en-US" w:eastAsia="zh-CN" w:bidi="zh-CN"/>
              </w:rPr>
            </w:pPr>
            <w:r>
              <w:rPr>
                <w:rFonts w:hint="eastAsia" w:ascii="宋体" w:hAnsi="宋体" w:eastAsia="宋体" w:cs="宋体"/>
                <w:sz w:val="24"/>
                <w:szCs w:val="22"/>
                <w:lang w:val="en-US" w:eastAsia="zh-CN" w:bidi="zh-CN"/>
              </w:rPr>
              <w:t>环境空气 总烃、甲烷和非甲烷总烃的测定直接进样一气相 色谱法-HJ604</w:t>
            </w:r>
          </w:p>
        </w:tc>
        <w:tc>
          <w:tcPr>
            <w:tcW w:w="1497" w:type="dxa"/>
            <w:vAlign w:val="top"/>
          </w:tcPr>
          <w:p>
            <w:pPr>
              <w:pStyle w:val="14"/>
              <w:spacing w:before="17"/>
              <w:rPr>
                <w:rFonts w:ascii="Microsoft JhengHei"/>
                <w:b/>
                <w:sz w:val="17"/>
              </w:rPr>
            </w:pPr>
          </w:p>
          <w:p>
            <w:pPr>
              <w:pStyle w:val="14"/>
              <w:ind w:left="127" w:leftChars="0" w:right="97" w:rightChars="0"/>
              <w:jc w:val="center"/>
              <w:rPr>
                <w:rFonts w:hint="eastAsia" w:ascii="宋体" w:hAnsi="宋体" w:eastAsia="宋体" w:cs="宋体"/>
                <w:sz w:val="24"/>
                <w:szCs w:val="22"/>
                <w:lang w:val="zh-CN" w:eastAsia="zh-CN" w:bidi="zh-CN"/>
              </w:rPr>
            </w:pPr>
            <w:r>
              <w:rPr>
                <w:rFonts w:hint="eastAsia"/>
                <w:sz w:val="24"/>
                <w:lang w:eastAsia="zh-CN"/>
              </w:rPr>
              <w:t>气相色谱法</w:t>
            </w:r>
          </w:p>
        </w:tc>
        <w:tc>
          <w:tcPr>
            <w:tcW w:w="2318" w:type="dxa"/>
            <w:tcBorders>
              <w:right w:val="single" w:color="000000" w:sz="12" w:space="0"/>
            </w:tcBorders>
            <w:vAlign w:val="top"/>
          </w:tcPr>
          <w:p>
            <w:pPr>
              <w:pStyle w:val="14"/>
              <w:spacing w:before="17"/>
              <w:rPr>
                <w:rFonts w:ascii="Microsoft JhengHei"/>
                <w:b/>
                <w:sz w:val="17"/>
              </w:rPr>
            </w:pPr>
          </w:p>
          <w:p>
            <w:pPr>
              <w:pStyle w:val="14"/>
              <w:ind w:right="0" w:rightChars="0"/>
              <w:rPr>
                <w:rFonts w:hint="eastAsia" w:ascii="宋体" w:hAnsi="宋体" w:eastAsia="宋体" w:cs="宋体"/>
                <w:sz w:val="24"/>
                <w:szCs w:val="22"/>
                <w:lang w:val="zh-CN" w:eastAsia="zh-CN" w:bidi="zh-CN"/>
              </w:rPr>
            </w:pPr>
            <w:r>
              <w:rPr>
                <w:rFonts w:hint="eastAsia"/>
                <w:sz w:val="24"/>
                <w:lang w:eastAsia="zh-CN"/>
              </w:rPr>
              <w:t>依托山东石大胜华化工集团股份有限公司厂界检测浓度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 w:hRule="atLeast"/>
        </w:trPr>
        <w:tc>
          <w:tcPr>
            <w:tcW w:w="397" w:type="dxa"/>
            <w:vMerge w:val="continue"/>
            <w:tcBorders>
              <w:top w:val="nil"/>
              <w:left w:val="single" w:color="000000" w:sz="12" w:space="0"/>
              <w:bottom w:val="nil"/>
            </w:tcBorders>
          </w:tcPr>
          <w:p>
            <w:pPr>
              <w:rPr>
                <w:sz w:val="2"/>
                <w:szCs w:val="2"/>
              </w:rPr>
            </w:pPr>
          </w:p>
        </w:tc>
        <w:tc>
          <w:tcPr>
            <w:tcW w:w="1874" w:type="dxa"/>
            <w:vAlign w:val="center"/>
          </w:tcPr>
          <w:p>
            <w:pPr>
              <w:pStyle w:val="14"/>
              <w:spacing w:before="1"/>
              <w:ind w:left="30" w:leftChars="0" w:right="0" w:rightChars="0"/>
              <w:jc w:val="center"/>
              <w:rPr>
                <w:rFonts w:hint="eastAsia" w:ascii="宋体" w:hAnsi="宋体" w:eastAsia="宋体" w:cs="宋体"/>
                <w:sz w:val="24"/>
                <w:szCs w:val="22"/>
                <w:lang w:val="zh-CN" w:eastAsia="zh-CN" w:bidi="zh-CN"/>
              </w:rPr>
            </w:pPr>
            <w:r>
              <w:rPr>
                <w:rFonts w:hint="eastAsia"/>
                <w:sz w:val="24"/>
                <w:lang w:eastAsia="zh-CN"/>
              </w:rPr>
              <w:t>挥发性有机物</w:t>
            </w:r>
          </w:p>
        </w:tc>
        <w:tc>
          <w:tcPr>
            <w:tcW w:w="1966" w:type="dxa"/>
            <w:vAlign w:val="center"/>
          </w:tcPr>
          <w:p>
            <w:pPr>
              <w:spacing w:before="1"/>
              <w:ind w:left="0" w:leftChars="0" w:right="0" w:rightChars="0"/>
              <w:jc w:val="center"/>
              <w:rPr>
                <w:rFonts w:hint="eastAsia" w:ascii="宋体" w:hAnsi="宋体" w:eastAsia="宋体" w:cs="宋体"/>
                <w:sz w:val="24"/>
                <w:szCs w:val="22"/>
                <w:lang w:val="zh-CN" w:eastAsia="zh-CN" w:bidi="zh-CN"/>
              </w:rPr>
            </w:pPr>
            <w:r>
              <w:rPr>
                <w:rFonts w:hint="eastAsia"/>
                <w:sz w:val="24"/>
                <w:lang w:eastAsia="zh-CN"/>
              </w:rPr>
              <w:t>设备与管线组件动密封点</w:t>
            </w:r>
          </w:p>
        </w:tc>
        <w:tc>
          <w:tcPr>
            <w:tcW w:w="1405" w:type="dxa"/>
            <w:vAlign w:val="center"/>
          </w:tcPr>
          <w:p>
            <w:pPr>
              <w:pStyle w:val="14"/>
              <w:spacing w:before="1"/>
              <w:ind w:left="149" w:leftChars="0" w:right="119" w:rightChars="0"/>
              <w:jc w:val="center"/>
              <w:rPr>
                <w:rFonts w:ascii="宋体" w:hAnsi="宋体" w:eastAsia="宋体" w:cs="宋体"/>
                <w:sz w:val="24"/>
                <w:szCs w:val="22"/>
                <w:lang w:val="zh-CN" w:eastAsia="zh-CN" w:bidi="zh-CN"/>
              </w:rPr>
            </w:pPr>
            <w:r>
              <w:rPr>
                <w:sz w:val="24"/>
              </w:rPr>
              <w:t>1 季度/次</w:t>
            </w:r>
          </w:p>
        </w:tc>
        <w:tc>
          <w:tcPr>
            <w:tcW w:w="2654" w:type="dxa"/>
            <w:vAlign w:val="center"/>
          </w:tcPr>
          <w:p>
            <w:pPr>
              <w:pStyle w:val="14"/>
              <w:spacing w:before="1" w:line="249" w:lineRule="auto"/>
              <w:ind w:left="134" w:leftChars="0" w:right="102" w:rightChars="0"/>
              <w:jc w:val="center"/>
              <w:rPr>
                <w:rFonts w:ascii="宋体" w:hAnsi="宋体" w:eastAsia="宋体" w:cs="宋体"/>
                <w:spacing w:val="-2"/>
                <w:sz w:val="24"/>
                <w:szCs w:val="22"/>
                <w:lang w:val="zh-CN" w:eastAsia="zh-CN" w:bidi="zh-CN"/>
              </w:rPr>
            </w:pPr>
          </w:p>
        </w:tc>
        <w:tc>
          <w:tcPr>
            <w:tcW w:w="1408" w:type="dxa"/>
            <w:vAlign w:val="center"/>
          </w:tcPr>
          <w:p>
            <w:pPr>
              <w:pStyle w:val="14"/>
              <w:spacing w:before="1"/>
              <w:ind w:left="171" w:leftChars="0" w:right="0" w:rightChars="0"/>
              <w:jc w:val="center"/>
              <w:rPr>
                <w:rFonts w:ascii="宋体" w:hAnsi="宋体" w:eastAsia="宋体" w:cs="宋体"/>
                <w:sz w:val="24"/>
                <w:szCs w:val="22"/>
                <w:lang w:val="zh-CN" w:eastAsia="zh-CN" w:bidi="zh-CN"/>
              </w:rPr>
            </w:pPr>
          </w:p>
        </w:tc>
        <w:tc>
          <w:tcPr>
            <w:tcW w:w="2095" w:type="dxa"/>
            <w:vAlign w:val="center"/>
          </w:tcPr>
          <w:p>
            <w:pPr>
              <w:pStyle w:val="14"/>
              <w:spacing w:before="1" w:line="290" w:lineRule="exact"/>
              <w:ind w:left="143" w:leftChars="0" w:right="113" w:rightChars="0"/>
              <w:jc w:val="center"/>
              <w:rPr>
                <w:rFonts w:ascii="宋体" w:hAnsi="宋体" w:eastAsia="宋体" w:cs="宋体"/>
                <w:sz w:val="24"/>
                <w:szCs w:val="22"/>
                <w:lang w:val="zh-CN" w:eastAsia="zh-CN" w:bidi="zh-CN"/>
              </w:rPr>
            </w:pPr>
            <w:r>
              <w:rPr>
                <w:rFonts w:hint="eastAsia"/>
                <w:sz w:val="24"/>
                <w:lang w:eastAsia="zh-CN"/>
              </w:rPr>
              <w:t>固定污染源废气总烃、甲烷和非甲烷总烃的测定</w:t>
            </w:r>
            <w:r>
              <w:rPr>
                <w:rFonts w:hint="eastAsia"/>
                <w:sz w:val="24"/>
                <w:lang w:val="en-US" w:eastAsia="zh-CN"/>
              </w:rPr>
              <w:t xml:space="preserve"> 气相色谱法 HJ38-2017</w:t>
            </w:r>
          </w:p>
        </w:tc>
        <w:tc>
          <w:tcPr>
            <w:tcW w:w="1497" w:type="dxa"/>
            <w:vAlign w:val="center"/>
          </w:tcPr>
          <w:p>
            <w:pPr>
              <w:pStyle w:val="14"/>
              <w:spacing w:before="1"/>
              <w:ind w:left="127" w:leftChars="0" w:right="97" w:rightChars="0"/>
              <w:jc w:val="center"/>
              <w:rPr>
                <w:rFonts w:hint="default" w:ascii="宋体" w:hAnsi="宋体" w:eastAsia="宋体" w:cs="宋体"/>
                <w:sz w:val="24"/>
                <w:szCs w:val="22"/>
                <w:lang w:val="zh-CN" w:eastAsia="zh-CN" w:bidi="zh-CN"/>
              </w:rPr>
            </w:pPr>
            <w:r>
              <w:rPr>
                <w:rFonts w:hint="eastAsia"/>
                <w:sz w:val="24"/>
                <w:lang w:val="en-US" w:eastAsia="zh-CN"/>
              </w:rPr>
              <w:t>PID</w:t>
            </w:r>
          </w:p>
        </w:tc>
        <w:tc>
          <w:tcPr>
            <w:tcW w:w="2318" w:type="dxa"/>
            <w:tcBorders>
              <w:right w:val="single" w:color="000000" w:sz="12" w:space="0"/>
            </w:tcBorders>
            <w:vAlign w:val="center"/>
          </w:tcPr>
          <w:p>
            <w:pPr>
              <w:pStyle w:val="14"/>
              <w:spacing w:before="1"/>
              <w:ind w:right="0" w:rightChars="0"/>
              <w:jc w:val="both"/>
              <w:rPr>
                <w:rFonts w:hint="eastAsia" w:ascii="宋体" w:hAnsi="宋体" w:eastAsia="宋体" w:cs="宋体"/>
                <w:sz w:val="24"/>
                <w:szCs w:val="22"/>
                <w:lang w:val="zh-CN" w:eastAsia="zh-CN" w:bidi="zh-CN"/>
              </w:rPr>
            </w:pPr>
            <w:r>
              <w:rPr>
                <w:rFonts w:hint="eastAsia"/>
                <w:sz w:val="24"/>
                <w:lang w:eastAsia="zh-CN"/>
              </w:rPr>
              <w:t>泵、压缩机、阀门、开口阀或开口管线每季度检测一次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 w:hRule="atLeast"/>
        </w:trPr>
        <w:tc>
          <w:tcPr>
            <w:tcW w:w="397" w:type="dxa"/>
            <w:tcBorders>
              <w:top w:val="nil"/>
              <w:left w:val="single" w:color="000000" w:sz="12" w:space="0"/>
            </w:tcBorders>
          </w:tcPr>
          <w:p>
            <w:pPr>
              <w:rPr>
                <w:sz w:val="2"/>
                <w:szCs w:val="2"/>
              </w:rPr>
            </w:pPr>
          </w:p>
        </w:tc>
        <w:tc>
          <w:tcPr>
            <w:tcW w:w="1874" w:type="dxa"/>
            <w:vAlign w:val="center"/>
          </w:tcPr>
          <w:p>
            <w:pPr>
              <w:pStyle w:val="14"/>
              <w:spacing w:before="1"/>
              <w:ind w:left="30" w:leftChars="0" w:right="0" w:rightChars="0"/>
              <w:jc w:val="center"/>
              <w:rPr>
                <w:rFonts w:hint="eastAsia" w:ascii="宋体" w:hAnsi="宋体" w:eastAsia="宋体" w:cs="宋体"/>
                <w:sz w:val="24"/>
                <w:szCs w:val="22"/>
                <w:lang w:val="zh-CN" w:eastAsia="zh-CN" w:bidi="zh-CN"/>
              </w:rPr>
            </w:pPr>
            <w:r>
              <w:rPr>
                <w:rFonts w:hint="eastAsia"/>
                <w:sz w:val="24"/>
                <w:lang w:eastAsia="zh-CN"/>
              </w:rPr>
              <w:t>挥发性有机物</w:t>
            </w:r>
          </w:p>
        </w:tc>
        <w:tc>
          <w:tcPr>
            <w:tcW w:w="1966" w:type="dxa"/>
            <w:vAlign w:val="center"/>
          </w:tcPr>
          <w:p>
            <w:pPr>
              <w:spacing w:before="1"/>
              <w:ind w:left="0" w:leftChars="0" w:right="0" w:rightChars="0"/>
              <w:jc w:val="center"/>
              <w:rPr>
                <w:rFonts w:hint="eastAsia" w:ascii="宋体" w:hAnsi="宋体" w:eastAsia="宋体" w:cs="宋体"/>
                <w:sz w:val="24"/>
                <w:szCs w:val="22"/>
                <w:lang w:val="zh-CN" w:eastAsia="zh-CN" w:bidi="zh-CN"/>
              </w:rPr>
            </w:pPr>
            <w:r>
              <w:rPr>
                <w:rFonts w:hint="eastAsia"/>
                <w:sz w:val="24"/>
                <w:lang w:eastAsia="zh-CN"/>
              </w:rPr>
              <w:t>设备与管线组件静密封点</w:t>
            </w:r>
          </w:p>
        </w:tc>
        <w:tc>
          <w:tcPr>
            <w:tcW w:w="1405" w:type="dxa"/>
            <w:vAlign w:val="center"/>
          </w:tcPr>
          <w:p>
            <w:pPr>
              <w:pStyle w:val="14"/>
              <w:spacing w:before="1"/>
              <w:ind w:left="149" w:leftChars="0" w:right="119" w:rightChars="0"/>
              <w:jc w:val="center"/>
              <w:rPr>
                <w:rFonts w:ascii="宋体" w:hAnsi="宋体" w:eastAsia="宋体" w:cs="宋体"/>
                <w:sz w:val="24"/>
                <w:szCs w:val="22"/>
                <w:lang w:val="zh-CN" w:eastAsia="zh-CN" w:bidi="zh-CN"/>
              </w:rPr>
            </w:pPr>
            <w:r>
              <w:rPr>
                <w:sz w:val="24"/>
              </w:rPr>
              <w:t xml:space="preserve">1 </w:t>
            </w:r>
            <w:r>
              <w:rPr>
                <w:rFonts w:hint="eastAsia"/>
                <w:sz w:val="24"/>
                <w:lang w:eastAsia="zh-CN"/>
              </w:rPr>
              <w:t>半年</w:t>
            </w:r>
            <w:r>
              <w:rPr>
                <w:sz w:val="24"/>
              </w:rPr>
              <w:t>/次</w:t>
            </w:r>
          </w:p>
        </w:tc>
        <w:tc>
          <w:tcPr>
            <w:tcW w:w="2654" w:type="dxa"/>
            <w:vAlign w:val="center"/>
          </w:tcPr>
          <w:p>
            <w:pPr>
              <w:pStyle w:val="14"/>
              <w:spacing w:before="1" w:line="249" w:lineRule="auto"/>
              <w:ind w:left="134" w:leftChars="0" w:right="102" w:rightChars="0"/>
              <w:jc w:val="center"/>
              <w:rPr>
                <w:rFonts w:ascii="宋体" w:hAnsi="宋体" w:eastAsia="宋体" w:cs="宋体"/>
                <w:spacing w:val="-2"/>
                <w:sz w:val="24"/>
                <w:szCs w:val="22"/>
                <w:lang w:val="zh-CN" w:eastAsia="zh-CN" w:bidi="zh-CN"/>
              </w:rPr>
            </w:pPr>
          </w:p>
        </w:tc>
        <w:tc>
          <w:tcPr>
            <w:tcW w:w="1408" w:type="dxa"/>
            <w:vAlign w:val="center"/>
          </w:tcPr>
          <w:p>
            <w:pPr>
              <w:pStyle w:val="14"/>
              <w:spacing w:before="1"/>
              <w:ind w:left="171" w:leftChars="0" w:right="0" w:rightChars="0"/>
              <w:jc w:val="center"/>
              <w:rPr>
                <w:rFonts w:ascii="宋体" w:hAnsi="宋体" w:eastAsia="宋体" w:cs="宋体"/>
                <w:sz w:val="24"/>
                <w:szCs w:val="22"/>
                <w:lang w:val="zh-CN" w:eastAsia="zh-CN" w:bidi="zh-CN"/>
              </w:rPr>
            </w:pPr>
          </w:p>
        </w:tc>
        <w:tc>
          <w:tcPr>
            <w:tcW w:w="2095" w:type="dxa"/>
            <w:vAlign w:val="center"/>
          </w:tcPr>
          <w:p>
            <w:pPr>
              <w:pStyle w:val="14"/>
              <w:spacing w:before="1" w:line="290" w:lineRule="exact"/>
              <w:ind w:left="143" w:leftChars="0" w:right="113" w:rightChars="0"/>
              <w:jc w:val="center"/>
              <w:rPr>
                <w:rFonts w:ascii="宋体" w:hAnsi="宋体" w:eastAsia="宋体" w:cs="宋体"/>
                <w:sz w:val="24"/>
                <w:szCs w:val="22"/>
                <w:lang w:val="zh-CN" w:eastAsia="zh-CN" w:bidi="zh-CN"/>
              </w:rPr>
            </w:pPr>
            <w:r>
              <w:rPr>
                <w:rFonts w:hint="eastAsia"/>
                <w:sz w:val="24"/>
                <w:lang w:eastAsia="zh-CN"/>
              </w:rPr>
              <w:t>固定污染源废气总烃、甲烷和非甲烷总烃的测定</w:t>
            </w:r>
            <w:r>
              <w:rPr>
                <w:rFonts w:hint="eastAsia"/>
                <w:sz w:val="24"/>
                <w:lang w:val="en-US" w:eastAsia="zh-CN"/>
              </w:rPr>
              <w:t xml:space="preserve"> 气相色谱法 HJ38-2017</w:t>
            </w:r>
          </w:p>
        </w:tc>
        <w:tc>
          <w:tcPr>
            <w:tcW w:w="1497" w:type="dxa"/>
            <w:vAlign w:val="center"/>
          </w:tcPr>
          <w:p>
            <w:pPr>
              <w:pStyle w:val="14"/>
              <w:spacing w:before="1"/>
              <w:ind w:left="127" w:leftChars="0" w:right="97" w:rightChars="0"/>
              <w:jc w:val="center"/>
              <w:rPr>
                <w:rFonts w:hint="default" w:ascii="宋体" w:hAnsi="宋体" w:eastAsia="宋体" w:cs="宋体"/>
                <w:sz w:val="24"/>
                <w:szCs w:val="22"/>
                <w:lang w:val="zh-CN" w:eastAsia="zh-CN" w:bidi="zh-CN"/>
              </w:rPr>
            </w:pPr>
            <w:r>
              <w:rPr>
                <w:rFonts w:hint="eastAsia"/>
                <w:sz w:val="24"/>
                <w:lang w:val="en-US" w:eastAsia="zh-CN"/>
              </w:rPr>
              <w:t>PID</w:t>
            </w:r>
          </w:p>
        </w:tc>
        <w:tc>
          <w:tcPr>
            <w:tcW w:w="2318" w:type="dxa"/>
            <w:tcBorders>
              <w:right w:val="single" w:color="000000" w:sz="12" w:space="0"/>
            </w:tcBorders>
            <w:vAlign w:val="center"/>
          </w:tcPr>
          <w:p>
            <w:pPr>
              <w:pStyle w:val="14"/>
              <w:spacing w:before="1"/>
              <w:ind w:right="0" w:rightChars="0"/>
              <w:jc w:val="both"/>
              <w:rPr>
                <w:rFonts w:hint="eastAsia" w:ascii="宋体" w:hAnsi="宋体" w:eastAsia="宋体" w:cs="宋体"/>
                <w:sz w:val="24"/>
                <w:szCs w:val="22"/>
                <w:lang w:val="zh-CN" w:eastAsia="zh-CN" w:bidi="zh-CN"/>
              </w:rPr>
            </w:pPr>
            <w:r>
              <w:rPr>
                <w:rFonts w:hint="eastAsia"/>
                <w:sz w:val="24"/>
                <w:lang w:eastAsia="zh-CN"/>
              </w:rPr>
              <w:t>法兰及其他连接件、其他密封设备</w:t>
            </w:r>
          </w:p>
        </w:tc>
      </w:tr>
    </w:tbl>
    <w:p>
      <w:pPr>
        <w:pStyle w:val="5"/>
        <w:spacing w:line="240" w:lineRule="auto"/>
        <w:ind w:left="6380" w:right="6439"/>
      </w:pPr>
      <w:r>
        <w:t>无组织自行监测内容表</w:t>
      </w:r>
    </w:p>
    <w:tbl>
      <w:tblPr>
        <w:tblStyle w:val="8"/>
        <w:tblpPr w:leftFromText="180" w:rightFromText="180" w:vertAnchor="text" w:horzAnchor="page" w:tblpX="758" w:tblpY="10"/>
        <w:tblOverlap w:val="never"/>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71"/>
        <w:gridCol w:w="133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2271" w:type="dxa"/>
            <w:tcBorders>
              <w:left w:val="single" w:color="000000" w:sz="12" w:space="0"/>
            </w:tcBorders>
          </w:tcPr>
          <w:p>
            <w:pPr>
              <w:pStyle w:val="14"/>
              <w:spacing w:line="420" w:lineRule="exact"/>
              <w:ind w:left="155" w:right="133"/>
              <w:jc w:val="center"/>
              <w:rPr>
                <w:rFonts w:hint="eastAsia" w:ascii="Microsoft JhengHei" w:eastAsia="Microsoft JhengHei"/>
                <w:b/>
                <w:sz w:val="24"/>
              </w:rPr>
            </w:pPr>
            <w:r>
              <w:rPr>
                <w:rFonts w:hint="eastAsia" w:ascii="Microsoft JhengHei" w:eastAsia="Microsoft JhengHei"/>
                <w:b/>
                <w:sz w:val="24"/>
              </w:rPr>
              <w:t>污染物排放方式及排放去向</w:t>
            </w:r>
          </w:p>
        </w:tc>
        <w:tc>
          <w:tcPr>
            <w:tcW w:w="13343" w:type="dxa"/>
            <w:tcBorders>
              <w:right w:val="single" w:color="000000" w:sz="12" w:space="0"/>
            </w:tcBorders>
          </w:tcPr>
          <w:p>
            <w:pPr>
              <w:rPr>
                <w:rFonts w:ascii="Arial" w:hAnsi="Arial" w:cs="Arial"/>
                <w:sz w:val="24"/>
                <w:szCs w:val="24"/>
              </w:rPr>
            </w:pPr>
          </w:p>
          <w:p>
            <w:pPr>
              <w:rPr>
                <w:rFonts w:hint="eastAsia" w:ascii="Arial" w:hAnsi="Arial" w:cs="Arial"/>
                <w:sz w:val="24"/>
                <w:szCs w:val="24"/>
              </w:rPr>
            </w:pPr>
            <w:r>
              <w:rPr>
                <w:rFonts w:ascii="Arial" w:hAnsi="Arial" w:cs="Arial"/>
                <w:sz w:val="24"/>
                <w:szCs w:val="24"/>
              </w:rPr>
              <w:t>排放方式</w:t>
            </w:r>
            <w:r>
              <w:rPr>
                <w:rFonts w:hint="eastAsia" w:ascii="Arial" w:hAnsi="Arial" w:cs="Arial"/>
                <w:sz w:val="24"/>
                <w:szCs w:val="24"/>
              </w:rPr>
              <w:t>:无组织排放</w:t>
            </w:r>
          </w:p>
          <w:p>
            <w:pPr>
              <w:pStyle w:val="14"/>
              <w:rPr>
                <w:rFonts w:ascii="Times New Roman"/>
                <w:sz w:val="24"/>
              </w:rPr>
            </w:pPr>
            <w:r>
              <w:rPr>
                <w:rFonts w:hint="eastAsia" w:ascii="Arial" w:hAnsi="Arial" w:cs="Arial"/>
                <w:sz w:val="24"/>
                <w:szCs w:val="24"/>
              </w:rPr>
              <w:t>排放去向：大气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5" w:hRule="atLeast"/>
        </w:trPr>
        <w:tc>
          <w:tcPr>
            <w:tcW w:w="2271" w:type="dxa"/>
            <w:tcBorders>
              <w:left w:val="single" w:color="000000" w:sz="12" w:space="0"/>
            </w:tcBorders>
          </w:tcPr>
          <w:p>
            <w:pPr>
              <w:pStyle w:val="14"/>
              <w:spacing w:before="2"/>
              <w:rPr>
                <w:rFonts w:ascii="Microsoft JhengHei"/>
                <w:b/>
                <w:sz w:val="13"/>
              </w:rPr>
            </w:pPr>
          </w:p>
          <w:p>
            <w:pPr>
              <w:pStyle w:val="14"/>
              <w:spacing w:line="206" w:lineRule="auto"/>
              <w:ind w:left="1015" w:right="152" w:hanging="840"/>
              <w:rPr>
                <w:rFonts w:hint="eastAsia" w:ascii="Microsoft JhengHei" w:eastAsia="Microsoft JhengHei"/>
                <w:b/>
                <w:sz w:val="24"/>
              </w:rPr>
            </w:pPr>
            <w:r>
              <w:rPr>
                <w:rFonts w:hint="eastAsia" w:ascii="Microsoft JhengHei" w:eastAsia="Microsoft JhengHei"/>
                <w:b/>
                <w:sz w:val="24"/>
              </w:rPr>
              <w:t>采样和样品保存方法</w:t>
            </w:r>
          </w:p>
        </w:tc>
        <w:tc>
          <w:tcPr>
            <w:tcW w:w="13343" w:type="dxa"/>
            <w:tcBorders>
              <w:right w:val="single" w:color="000000" w:sz="12" w:space="0"/>
            </w:tcBorders>
          </w:tcPr>
          <w:p>
            <w:pPr>
              <w:pStyle w:val="14"/>
              <w:spacing w:before="67"/>
              <w:ind w:left="235"/>
              <w:rPr>
                <w:sz w:val="24"/>
              </w:rPr>
            </w:pPr>
            <w:r>
              <w:rPr>
                <w:rFonts w:hint="eastAsia"/>
                <w:lang w:eastAsia="zh-CN"/>
              </w:rPr>
              <w:t>采样和样品保存按照《大气污染物无组织排放监测技术导则》（</w:t>
            </w:r>
            <w:r>
              <w:rPr>
                <w:rFonts w:hint="eastAsia"/>
                <w:lang w:val="en-US" w:eastAsia="zh-CN"/>
              </w:rPr>
              <w:t>HJ/T55-2000</w:t>
            </w:r>
            <w:r>
              <w:rPr>
                <w:rFonts w:hint="eastAsia"/>
                <w:lang w:eastAsia="zh-CN"/>
              </w:rPr>
              <w:t>）</w:t>
            </w:r>
            <w:r>
              <w:rPr>
                <w:rFonts w:hint="eastAsia"/>
                <w:lang w:val="en-US" w:eastAsia="zh-CN"/>
              </w:rPr>
              <w:t>和《大气污染物综合排放标准》（GB16297-1996）执行，采样数为3个。</w:t>
            </w:r>
            <w:r>
              <w:rPr>
                <w:rFonts w:hint="eastAsia" w:ascii="宋体" w:hAnsi="宋体"/>
              </w:rPr>
              <w:t>委托有资质的机构处理，并监督委托有资质的机构</w:t>
            </w:r>
            <w:r>
              <w:rPr>
                <w:rFonts w:hint="eastAsia" w:ascii="宋体" w:hAnsi="宋体"/>
                <w:color w:val="000000"/>
                <w:sz w:val="20"/>
                <w:szCs w:val="20"/>
              </w:rPr>
              <w:t xml:space="preserve">参照相关污染物排放标准及 </w:t>
            </w:r>
            <w:r>
              <w:rPr>
                <w:rFonts w:ascii="Times New Roman" w:hAnsi="Times New Roman"/>
                <w:color w:val="000000"/>
                <w:sz w:val="20"/>
                <w:szCs w:val="20"/>
              </w:rPr>
              <w:t>HJ/T 55</w:t>
            </w:r>
            <w:r>
              <w:rPr>
                <w:rFonts w:hint="eastAsia" w:ascii="宋体" w:hAnsi="宋体"/>
                <w:color w:val="000000"/>
                <w:sz w:val="20"/>
                <w:szCs w:val="20"/>
              </w:rPr>
              <w:t>、</w:t>
            </w:r>
            <w:r>
              <w:rPr>
                <w:rFonts w:ascii="Times New Roman" w:hAnsi="Times New Roman"/>
                <w:color w:val="000000"/>
                <w:sz w:val="20"/>
                <w:szCs w:val="20"/>
              </w:rPr>
              <w:t xml:space="preserve">HJ 733 </w:t>
            </w:r>
            <w:r>
              <w:rPr>
                <w:rFonts w:hint="eastAsia" w:ascii="宋体" w:hAnsi="宋体"/>
                <w:color w:val="000000"/>
                <w:sz w:val="20"/>
                <w:szCs w:val="20"/>
              </w:rPr>
              <w:t>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4" w:hRule="atLeast"/>
        </w:trPr>
        <w:tc>
          <w:tcPr>
            <w:tcW w:w="2271" w:type="dxa"/>
            <w:tcBorders>
              <w:left w:val="single" w:color="000000" w:sz="12" w:space="0"/>
            </w:tcBorders>
          </w:tcPr>
          <w:p>
            <w:pPr>
              <w:pStyle w:val="14"/>
              <w:spacing w:before="13"/>
              <w:rPr>
                <w:rFonts w:ascii="Microsoft JhengHei"/>
                <w:b/>
                <w:sz w:val="20"/>
              </w:rPr>
            </w:pPr>
          </w:p>
          <w:p>
            <w:pPr>
              <w:pStyle w:val="14"/>
              <w:ind w:left="155" w:right="133"/>
              <w:jc w:val="center"/>
              <w:rPr>
                <w:rFonts w:hint="eastAsia" w:ascii="Microsoft JhengHei" w:eastAsia="Microsoft JhengHei"/>
                <w:b/>
                <w:sz w:val="24"/>
              </w:rPr>
            </w:pPr>
            <w:r>
              <w:rPr>
                <w:rFonts w:hint="eastAsia" w:ascii="Microsoft JhengHei" w:eastAsia="Microsoft JhengHei"/>
                <w:b/>
                <w:sz w:val="24"/>
              </w:rPr>
              <w:t>监测质量控制措施</w:t>
            </w:r>
          </w:p>
        </w:tc>
        <w:tc>
          <w:tcPr>
            <w:tcW w:w="13343" w:type="dxa"/>
            <w:tcBorders>
              <w:right w:val="single" w:color="000000" w:sz="12" w:space="0"/>
            </w:tcBorders>
          </w:tcPr>
          <w:p>
            <w:pPr>
              <w:pStyle w:val="14"/>
              <w:spacing w:before="66"/>
              <w:ind w:left="115"/>
              <w:rPr>
                <w:sz w:val="24"/>
              </w:rPr>
            </w:pPr>
            <w:r>
              <w:rPr>
                <w:rFonts w:hint="eastAsia" w:ascii="Arial" w:hAnsi="Arial" w:cs="Arial"/>
                <w:color w:val="auto"/>
                <w:sz w:val="24"/>
                <w:szCs w:val="24"/>
              </w:rPr>
              <w:t>委托有资质的机构检测，排污单位从采样监督、分析监督、监测数据质量上进行监测质量控制。单位监督委托的机构按照排污单位自行监测技术指南组织实施质量控制。或者企业施行的其他的监测质量控制措施。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2271" w:type="dxa"/>
            <w:tcBorders>
              <w:left w:val="single" w:color="000000" w:sz="12" w:space="0"/>
            </w:tcBorders>
          </w:tcPr>
          <w:p>
            <w:pPr>
              <w:pStyle w:val="14"/>
              <w:spacing w:before="137" w:line="206" w:lineRule="auto"/>
              <w:ind w:left="655" w:right="632"/>
              <w:rPr>
                <w:rFonts w:hint="eastAsia" w:ascii="Microsoft JhengHei" w:eastAsia="Microsoft JhengHei"/>
                <w:b/>
                <w:sz w:val="24"/>
              </w:rPr>
            </w:pPr>
            <w:r>
              <w:rPr>
                <w:rFonts w:hint="eastAsia" w:ascii="Microsoft JhengHei" w:eastAsia="Microsoft JhengHei"/>
                <w:b/>
                <w:sz w:val="24"/>
              </w:rPr>
              <w:t>监测结果公开时限</w:t>
            </w:r>
          </w:p>
        </w:tc>
        <w:tc>
          <w:tcPr>
            <w:tcW w:w="13343" w:type="dxa"/>
            <w:tcBorders>
              <w:right w:val="single" w:color="000000" w:sz="12" w:space="0"/>
            </w:tcBorders>
          </w:tcPr>
          <w:p>
            <w:pPr>
              <w:rPr>
                <w:sz w:val="24"/>
              </w:rPr>
            </w:pPr>
            <w:r>
              <w:rPr>
                <w:rFonts w:ascii="Arial" w:hAnsi="Arial" w:cs="Arial"/>
                <w:color w:val="auto"/>
                <w:sz w:val="24"/>
                <w:szCs w:val="24"/>
              </w:rPr>
              <w:t>手工监测数据在收到监测报告后一周内填报到山东省污染源监测共享系统，自动监测数据在东营市环境监测监控系统上实时公开。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2271" w:type="dxa"/>
            <w:tcBorders>
              <w:left w:val="single" w:color="000000" w:sz="12" w:space="0"/>
              <w:bottom w:val="single" w:color="000000" w:sz="12" w:space="0"/>
            </w:tcBorders>
          </w:tcPr>
          <w:p>
            <w:pPr>
              <w:pStyle w:val="14"/>
              <w:spacing w:before="6"/>
              <w:rPr>
                <w:rFonts w:ascii="Microsoft JhengHei"/>
                <w:b/>
                <w:sz w:val="15"/>
              </w:rPr>
            </w:pPr>
          </w:p>
          <w:p>
            <w:pPr>
              <w:pStyle w:val="14"/>
              <w:spacing w:before="1"/>
              <w:ind w:left="155" w:right="133"/>
              <w:jc w:val="center"/>
              <w:rPr>
                <w:rFonts w:hint="eastAsia" w:ascii="Microsoft JhengHei" w:eastAsia="Microsoft JhengHei"/>
                <w:b/>
                <w:sz w:val="24"/>
              </w:rPr>
            </w:pPr>
            <w:r>
              <w:rPr>
                <w:rFonts w:hint="eastAsia" w:ascii="Microsoft JhengHei" w:eastAsia="Microsoft JhengHei"/>
                <w:b/>
                <w:sz w:val="24"/>
              </w:rPr>
              <w:t>备注</w:t>
            </w:r>
          </w:p>
        </w:tc>
        <w:tc>
          <w:tcPr>
            <w:tcW w:w="13343" w:type="dxa"/>
            <w:tcBorders>
              <w:bottom w:val="single" w:color="000000" w:sz="12" w:space="0"/>
              <w:right w:val="single" w:color="000000" w:sz="12" w:space="0"/>
            </w:tcBorders>
          </w:tcPr>
          <w:p>
            <w:pPr>
              <w:pStyle w:val="14"/>
              <w:rPr>
                <w:rFonts w:ascii="Times New Roman"/>
                <w:sz w:val="24"/>
              </w:rPr>
            </w:pPr>
            <w:r>
              <w:rPr>
                <w:rFonts w:hint="eastAsia" w:ascii="Arial" w:hAnsi="Arial" w:eastAsia="宋体" w:cs="Arial"/>
                <w:color w:val="auto"/>
                <w:sz w:val="24"/>
                <w:szCs w:val="24"/>
                <w:lang w:val="zh-CN" w:eastAsia="zh-CN" w:bidi="zh-CN"/>
              </w:rPr>
              <w:t>我公司还开展泄露点监测和修复，设备与管线组件动静密封点挥发性有机物检测按照相关标准执行，其中泵（轴封）、压缩机（轴封）、搅拌器（轴封）、阀门、泄压设备（安全阀）、取样连接系统、开口阀或开口管线每季度一次，每季度泄露监测点位数约为</w:t>
            </w:r>
            <w:r>
              <w:rPr>
                <w:rFonts w:hint="eastAsia" w:ascii="Arial" w:hAnsi="Arial" w:cs="Arial"/>
                <w:color w:val="auto"/>
                <w:sz w:val="24"/>
                <w:szCs w:val="24"/>
                <w:lang w:val="en-US" w:eastAsia="zh-CN" w:bidi="zh-CN"/>
              </w:rPr>
              <w:t>1166</w:t>
            </w:r>
            <w:r>
              <w:rPr>
                <w:rFonts w:hint="eastAsia" w:ascii="Arial" w:hAnsi="Arial" w:eastAsia="宋体" w:cs="Arial"/>
                <w:color w:val="auto"/>
                <w:sz w:val="24"/>
                <w:szCs w:val="24"/>
                <w:lang w:val="zh-CN" w:eastAsia="zh-CN" w:bidi="zh-CN"/>
              </w:rPr>
              <w:t>个，法兰、连接件、其他每半年一次，监测点位数约为</w:t>
            </w:r>
            <w:r>
              <w:rPr>
                <w:rFonts w:hint="eastAsia" w:ascii="Arial" w:hAnsi="Arial" w:cs="Arial"/>
                <w:color w:val="auto"/>
                <w:sz w:val="24"/>
                <w:szCs w:val="24"/>
                <w:lang w:val="en-US" w:eastAsia="zh-CN" w:bidi="zh-CN"/>
              </w:rPr>
              <w:t>2628</w:t>
            </w:r>
            <w:r>
              <w:rPr>
                <w:rFonts w:hint="eastAsia" w:ascii="Arial" w:hAnsi="Arial" w:eastAsia="宋体" w:cs="Arial"/>
                <w:color w:val="auto"/>
                <w:sz w:val="24"/>
                <w:szCs w:val="24"/>
                <w:lang w:val="zh-CN" w:eastAsia="zh-CN" w:bidi="zh-CN"/>
              </w:rPr>
              <w:t>个，监测数据填报至</w:t>
            </w:r>
            <w:r>
              <w:rPr>
                <w:rFonts w:hint="eastAsia" w:ascii="Arial" w:hAnsi="Arial" w:cs="Arial"/>
                <w:color w:val="auto"/>
                <w:sz w:val="24"/>
                <w:szCs w:val="24"/>
                <w:lang w:val="en-US" w:eastAsia="zh-CN" w:bidi="zh-CN"/>
              </w:rPr>
              <w:t>VOCs综合治理管控平台</w:t>
            </w:r>
            <w:r>
              <w:rPr>
                <w:rFonts w:hint="eastAsia" w:ascii="Arial" w:hAnsi="Arial" w:eastAsia="宋体" w:cs="Arial"/>
                <w:color w:val="auto"/>
                <w:sz w:val="24"/>
                <w:szCs w:val="24"/>
                <w:lang w:val="zh-CN" w:eastAsia="zh-CN" w:bidi="zh-CN"/>
              </w:rPr>
              <w:t>，泄露监测报告存管情况。</w:t>
            </w:r>
          </w:p>
        </w:tc>
      </w:tr>
    </w:tbl>
    <w:p>
      <w:pPr>
        <w:spacing w:before="0" w:line="484" w:lineRule="exact"/>
        <w:ind w:left="6380" w:right="6439" w:firstLine="0"/>
        <w:jc w:val="center"/>
        <w:rPr>
          <w:rFonts w:hint="eastAsia" w:ascii="Microsoft JhengHei" w:eastAsia="Microsoft JhengHei"/>
          <w:b/>
          <w:sz w:val="28"/>
        </w:rPr>
      </w:pPr>
    </w:p>
    <w:p>
      <w:pPr>
        <w:spacing w:before="0" w:line="484" w:lineRule="exact"/>
        <w:ind w:left="6380" w:right="6439" w:firstLine="0"/>
        <w:jc w:val="center"/>
        <w:rPr>
          <w:rFonts w:hint="eastAsia" w:ascii="Microsoft JhengHei" w:eastAsia="Microsoft JhengHei"/>
          <w:b/>
          <w:sz w:val="28"/>
        </w:rPr>
      </w:pPr>
      <w:bookmarkStart w:id="0" w:name="_GoBack"/>
      <w:r>
        <w:rPr>
          <w:rFonts w:hint="eastAsia" w:ascii="Microsoft JhengHei" w:eastAsia="Microsoft JhengHei"/>
          <w:b/>
          <w:sz w:val="28"/>
        </w:rPr>
        <w:t>废水自行监测内容表</w:t>
      </w:r>
    </w:p>
    <w:bookmarkEnd w:id="0"/>
    <w:tbl>
      <w:tblPr>
        <w:tblStyle w:val="8"/>
        <w:tblW w:w="0" w:type="auto"/>
        <w:tblInd w:w="14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7"/>
        <w:gridCol w:w="1874"/>
        <w:gridCol w:w="1191"/>
        <w:gridCol w:w="1966"/>
        <w:gridCol w:w="1405"/>
        <w:gridCol w:w="2654"/>
        <w:gridCol w:w="1408"/>
        <w:gridCol w:w="1871"/>
        <w:gridCol w:w="1721"/>
        <w:gridCol w:w="11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1" w:hRule="atLeast"/>
        </w:trPr>
        <w:tc>
          <w:tcPr>
            <w:tcW w:w="397" w:type="dxa"/>
            <w:vMerge w:val="restart"/>
            <w:tcBorders>
              <w:top w:val="nil"/>
              <w:left w:val="single" w:color="000000" w:sz="12" w:space="0"/>
            </w:tcBorders>
          </w:tcPr>
          <w:p>
            <w:pPr>
              <w:rPr>
                <w:sz w:val="2"/>
                <w:szCs w:val="2"/>
              </w:rPr>
            </w:pPr>
          </w:p>
        </w:tc>
        <w:tc>
          <w:tcPr>
            <w:tcW w:w="1874" w:type="dxa"/>
            <w:vAlign w:val="top"/>
          </w:tcPr>
          <w:p>
            <w:pPr>
              <w:pStyle w:val="14"/>
              <w:spacing w:line="358" w:lineRule="exact"/>
              <w:ind w:firstLine="720" w:firstLineChars="300"/>
              <w:rPr>
                <w:rFonts w:hint="eastAsia" w:ascii="Microsoft JhengHei" w:eastAsia="Microsoft JhengHei"/>
                <w:b/>
                <w:sz w:val="24"/>
              </w:rPr>
            </w:pPr>
            <w:r>
              <w:rPr>
                <w:rFonts w:hint="eastAsia" w:ascii="Microsoft JhengHei" w:eastAsia="Microsoft JhengHei"/>
                <w:b/>
                <w:sz w:val="24"/>
              </w:rPr>
              <w:t>监测项目</w:t>
            </w:r>
          </w:p>
          <w:p>
            <w:pPr>
              <w:pStyle w:val="14"/>
              <w:spacing w:line="343" w:lineRule="exact"/>
              <w:ind w:left="108"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监测内容</w:t>
            </w:r>
          </w:p>
        </w:tc>
        <w:tc>
          <w:tcPr>
            <w:tcW w:w="1191" w:type="dxa"/>
            <w:vAlign w:val="top"/>
          </w:tcPr>
          <w:p>
            <w:pPr>
              <w:pStyle w:val="14"/>
              <w:spacing w:before="137"/>
              <w:ind w:left="0" w:leftChars="0" w:right="212" w:rightChars="0"/>
              <w:jc w:val="right"/>
              <w:rPr>
                <w:rFonts w:hint="eastAsia" w:ascii="Microsoft JhengHei" w:hAnsi="宋体" w:eastAsia="Microsoft JhengHei" w:cs="宋体"/>
                <w:b/>
                <w:sz w:val="24"/>
                <w:szCs w:val="22"/>
                <w:lang w:val="en-US" w:eastAsia="zh-CN" w:bidi="zh-CN"/>
              </w:rPr>
            </w:pPr>
            <w:r>
              <w:rPr>
                <w:rFonts w:hint="eastAsia" w:ascii="Microsoft JhengHei" w:eastAsia="Microsoft JhengHei"/>
                <w:b/>
                <w:sz w:val="24"/>
              </w:rPr>
              <w:t>排放口</w:t>
            </w:r>
          </w:p>
        </w:tc>
        <w:tc>
          <w:tcPr>
            <w:tcW w:w="1966" w:type="dxa"/>
            <w:vAlign w:val="top"/>
          </w:tcPr>
          <w:p>
            <w:pPr>
              <w:pStyle w:val="14"/>
              <w:spacing w:before="137"/>
              <w:ind w:left="510"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监测点位</w:t>
            </w:r>
          </w:p>
        </w:tc>
        <w:tc>
          <w:tcPr>
            <w:tcW w:w="1405" w:type="dxa"/>
            <w:vAlign w:val="top"/>
          </w:tcPr>
          <w:p>
            <w:pPr>
              <w:pStyle w:val="14"/>
              <w:spacing w:before="137"/>
              <w:ind w:left="149" w:leftChars="0" w:right="120"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监测频次</w:t>
            </w:r>
          </w:p>
        </w:tc>
        <w:tc>
          <w:tcPr>
            <w:tcW w:w="2654" w:type="dxa"/>
            <w:vAlign w:val="top"/>
          </w:tcPr>
          <w:p>
            <w:pPr>
              <w:pStyle w:val="14"/>
              <w:spacing w:before="137"/>
              <w:ind w:left="614"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执行排放标准</w:t>
            </w:r>
          </w:p>
        </w:tc>
        <w:tc>
          <w:tcPr>
            <w:tcW w:w="1408" w:type="dxa"/>
            <w:vAlign w:val="top"/>
          </w:tcPr>
          <w:p>
            <w:pPr>
              <w:pStyle w:val="14"/>
              <w:spacing w:before="137"/>
              <w:ind w:left="119" w:leftChars="0" w:right="121"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标准限值</w:t>
            </w:r>
          </w:p>
        </w:tc>
        <w:tc>
          <w:tcPr>
            <w:tcW w:w="1871" w:type="dxa"/>
            <w:vAlign w:val="top"/>
          </w:tcPr>
          <w:p>
            <w:pPr>
              <w:pStyle w:val="14"/>
              <w:spacing w:before="137"/>
              <w:ind w:left="111" w:leftChars="0" w:right="113"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监测方法</w:t>
            </w:r>
          </w:p>
        </w:tc>
        <w:tc>
          <w:tcPr>
            <w:tcW w:w="1721" w:type="dxa"/>
            <w:vAlign w:val="top"/>
          </w:tcPr>
          <w:p>
            <w:pPr>
              <w:pStyle w:val="14"/>
              <w:spacing w:before="137"/>
              <w:ind w:left="97" w:leftChars="0" w:right="98"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分析仪器</w:t>
            </w:r>
          </w:p>
        </w:tc>
        <w:tc>
          <w:tcPr>
            <w:tcW w:w="1127" w:type="dxa"/>
            <w:tcBorders>
              <w:right w:val="single" w:color="000000" w:sz="12" w:space="0"/>
            </w:tcBorders>
            <w:vAlign w:val="top"/>
          </w:tcPr>
          <w:p>
            <w:pPr>
              <w:pStyle w:val="14"/>
              <w:spacing w:before="137"/>
              <w:ind w:left="314"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5" w:hRule="atLeast"/>
        </w:trPr>
        <w:tc>
          <w:tcPr>
            <w:tcW w:w="397" w:type="dxa"/>
            <w:vMerge w:val="continue"/>
            <w:tcBorders>
              <w:top w:val="nil"/>
              <w:left w:val="single" w:color="000000" w:sz="12" w:space="0"/>
            </w:tcBorders>
          </w:tcPr>
          <w:p>
            <w:pPr>
              <w:rPr>
                <w:sz w:val="2"/>
                <w:szCs w:val="2"/>
              </w:rPr>
            </w:pPr>
          </w:p>
        </w:tc>
        <w:tc>
          <w:tcPr>
            <w:tcW w:w="1874" w:type="dxa"/>
            <w:vAlign w:val="center"/>
          </w:tcPr>
          <w:p>
            <w:pPr>
              <w:pStyle w:val="14"/>
              <w:ind w:left="30" w:leftChars="0" w:right="0" w:rightChars="0"/>
              <w:jc w:val="center"/>
              <w:rPr>
                <w:rFonts w:ascii="宋体" w:hAnsi="宋体" w:eastAsia="宋体" w:cs="宋体"/>
                <w:color w:val="auto"/>
                <w:sz w:val="24"/>
                <w:szCs w:val="22"/>
                <w:lang w:val="zh-CN" w:eastAsia="zh-CN" w:bidi="zh-CN"/>
              </w:rPr>
            </w:pPr>
            <w:r>
              <w:rPr>
                <w:rFonts w:hint="eastAsia"/>
                <w:color w:val="auto"/>
                <w:sz w:val="21"/>
                <w:szCs w:val="21"/>
                <w:lang w:eastAsia="zh-CN"/>
              </w:rPr>
              <w:t>总有机碳</w:t>
            </w:r>
          </w:p>
        </w:tc>
        <w:tc>
          <w:tcPr>
            <w:tcW w:w="1191" w:type="dxa"/>
            <w:vAlign w:val="center"/>
          </w:tcPr>
          <w:p>
            <w:pPr>
              <w:pStyle w:val="14"/>
              <w:ind w:left="0" w:leftChars="0" w:right="272" w:rightChars="0"/>
              <w:jc w:val="center"/>
              <w:rPr>
                <w:rFonts w:hint="eastAsia" w:ascii="宋体" w:hAnsi="宋体" w:eastAsia="宋体" w:cs="宋体"/>
                <w:color w:val="auto"/>
                <w:sz w:val="24"/>
                <w:szCs w:val="22"/>
                <w:lang w:val="en-US" w:eastAsia="zh-CN" w:bidi="zh-CN"/>
              </w:rPr>
            </w:pPr>
          </w:p>
        </w:tc>
        <w:tc>
          <w:tcPr>
            <w:tcW w:w="1966" w:type="dxa"/>
            <w:vAlign w:val="center"/>
          </w:tcPr>
          <w:p>
            <w:pPr>
              <w:pStyle w:val="14"/>
              <w:ind w:left="510" w:leftChars="0" w:right="0" w:rightChars="0"/>
              <w:jc w:val="center"/>
              <w:rPr>
                <w:rFonts w:ascii="宋体" w:hAnsi="宋体" w:eastAsia="宋体" w:cs="宋体"/>
                <w:color w:val="auto"/>
                <w:sz w:val="24"/>
                <w:szCs w:val="22"/>
                <w:lang w:val="zh-CN" w:eastAsia="zh-CN" w:bidi="zh-CN"/>
              </w:rPr>
            </w:pPr>
            <w:r>
              <w:rPr>
                <w:rFonts w:hint="eastAsia"/>
                <w:color w:val="auto"/>
                <w:sz w:val="21"/>
                <w:szCs w:val="21"/>
                <w:lang w:eastAsia="zh-CN"/>
              </w:rPr>
              <w:t>循环水</w:t>
            </w:r>
          </w:p>
        </w:tc>
        <w:tc>
          <w:tcPr>
            <w:tcW w:w="1405" w:type="dxa"/>
            <w:vAlign w:val="center"/>
          </w:tcPr>
          <w:p>
            <w:pPr>
              <w:pStyle w:val="14"/>
              <w:ind w:left="149" w:leftChars="0" w:right="120" w:rightChars="0"/>
              <w:jc w:val="center"/>
              <w:rPr>
                <w:rFonts w:ascii="宋体" w:hAnsi="宋体" w:eastAsia="宋体" w:cs="宋体"/>
                <w:color w:val="auto"/>
                <w:sz w:val="24"/>
                <w:szCs w:val="22"/>
                <w:lang w:val="zh-CN" w:eastAsia="zh-CN" w:bidi="zh-CN"/>
              </w:rPr>
            </w:pPr>
            <w:r>
              <w:rPr>
                <w:rFonts w:hint="eastAsia"/>
                <w:color w:val="auto"/>
                <w:sz w:val="21"/>
                <w:szCs w:val="21"/>
                <w:lang w:val="en-US" w:eastAsia="zh-CN"/>
              </w:rPr>
              <w:t>半年/次</w:t>
            </w:r>
          </w:p>
        </w:tc>
        <w:tc>
          <w:tcPr>
            <w:tcW w:w="2654" w:type="dxa"/>
            <w:vAlign w:val="top"/>
          </w:tcPr>
          <w:p>
            <w:pPr>
              <w:pStyle w:val="14"/>
              <w:spacing w:before="10" w:line="249" w:lineRule="auto"/>
              <w:ind w:left="134" w:leftChars="0" w:right="102" w:rightChars="0"/>
              <w:jc w:val="center"/>
              <w:rPr>
                <w:rFonts w:ascii="宋体" w:hAnsi="宋体" w:eastAsia="宋体" w:cs="宋体"/>
                <w:color w:val="auto"/>
                <w:sz w:val="24"/>
                <w:szCs w:val="22"/>
                <w:lang w:val="zh-CN" w:eastAsia="zh-CN" w:bidi="zh-CN"/>
              </w:rPr>
            </w:pPr>
            <w:r>
              <w:rPr>
                <w:color w:val="auto"/>
                <w:sz w:val="21"/>
                <w:szCs w:val="21"/>
              </w:rPr>
              <w:t>石油化学工业污染物排放标准(GB 31571-2015)</w:t>
            </w:r>
          </w:p>
        </w:tc>
        <w:tc>
          <w:tcPr>
            <w:tcW w:w="1408" w:type="dxa"/>
            <w:vAlign w:val="top"/>
          </w:tcPr>
          <w:p>
            <w:pPr>
              <w:pStyle w:val="14"/>
              <w:spacing w:before="17"/>
              <w:rPr>
                <w:rFonts w:ascii="Microsoft JhengHei"/>
                <w:b/>
                <w:color w:val="auto"/>
                <w:sz w:val="21"/>
                <w:szCs w:val="21"/>
              </w:rPr>
            </w:pPr>
          </w:p>
          <w:p>
            <w:pPr>
              <w:pStyle w:val="14"/>
              <w:ind w:left="291" w:leftChars="0" w:right="0" w:rightChars="0"/>
              <w:rPr>
                <w:rFonts w:ascii="宋体" w:hAnsi="宋体" w:eastAsia="宋体" w:cs="宋体"/>
                <w:color w:val="auto"/>
                <w:sz w:val="24"/>
                <w:szCs w:val="22"/>
                <w:lang w:val="zh-CN" w:eastAsia="zh-CN" w:bidi="zh-CN"/>
              </w:rPr>
            </w:pPr>
          </w:p>
        </w:tc>
        <w:tc>
          <w:tcPr>
            <w:tcW w:w="1871" w:type="dxa"/>
            <w:vAlign w:val="top"/>
          </w:tcPr>
          <w:p>
            <w:pPr>
              <w:pStyle w:val="14"/>
              <w:spacing w:before="10"/>
              <w:ind w:right="113"/>
              <w:jc w:val="both"/>
              <w:rPr>
                <w:rFonts w:ascii="宋体" w:hAnsi="宋体" w:eastAsia="宋体" w:cs="宋体"/>
                <w:color w:val="auto"/>
                <w:sz w:val="24"/>
                <w:szCs w:val="22"/>
                <w:lang w:val="zh-CN" w:eastAsia="zh-CN" w:bidi="zh-CN"/>
              </w:rPr>
            </w:pPr>
            <w:r>
              <w:rPr>
                <w:color w:val="auto"/>
                <w:sz w:val="21"/>
                <w:szCs w:val="21"/>
              </w:rPr>
              <w:t>HJ 501-2009</w:t>
            </w:r>
            <w:r>
              <w:rPr>
                <w:color w:val="auto"/>
                <w:spacing w:val="-3"/>
                <w:sz w:val="21"/>
                <w:szCs w:val="21"/>
              </w:rPr>
              <w:t>水质 总有机碳的测定 燃烧氧</w:t>
            </w:r>
            <w:r>
              <w:rPr>
                <w:color w:val="auto"/>
                <w:sz w:val="21"/>
                <w:szCs w:val="21"/>
              </w:rPr>
              <w:t>化—非分散红外吸收法</w:t>
            </w:r>
          </w:p>
        </w:tc>
        <w:tc>
          <w:tcPr>
            <w:tcW w:w="1721" w:type="dxa"/>
            <w:vAlign w:val="top"/>
          </w:tcPr>
          <w:p>
            <w:pPr>
              <w:pStyle w:val="14"/>
              <w:spacing w:before="17"/>
              <w:rPr>
                <w:rFonts w:ascii="Microsoft JhengHei"/>
                <w:b/>
                <w:color w:val="auto"/>
                <w:sz w:val="21"/>
                <w:szCs w:val="21"/>
              </w:rPr>
            </w:pPr>
          </w:p>
          <w:p>
            <w:pPr>
              <w:pStyle w:val="14"/>
              <w:ind w:left="127" w:leftChars="0" w:right="98" w:rightChars="0"/>
              <w:jc w:val="center"/>
              <w:rPr>
                <w:rFonts w:ascii="宋体" w:hAnsi="宋体" w:eastAsia="宋体" w:cs="宋体"/>
                <w:color w:val="auto"/>
                <w:sz w:val="24"/>
                <w:szCs w:val="22"/>
                <w:lang w:val="zh-CN" w:eastAsia="zh-CN" w:bidi="zh-CN"/>
              </w:rPr>
            </w:pPr>
            <w:r>
              <w:rPr>
                <w:color w:val="auto"/>
                <w:sz w:val="21"/>
                <w:szCs w:val="21"/>
              </w:rPr>
              <w:t>TOC 分析仪</w:t>
            </w:r>
          </w:p>
        </w:tc>
        <w:tc>
          <w:tcPr>
            <w:tcW w:w="1127" w:type="dxa"/>
            <w:tcBorders>
              <w:right w:val="single" w:color="000000" w:sz="12" w:space="0"/>
            </w:tcBorders>
            <w:vAlign w:val="top"/>
          </w:tcPr>
          <w:p>
            <w:pPr>
              <w:pStyle w:val="14"/>
              <w:spacing w:before="170" w:line="249" w:lineRule="auto"/>
              <w:ind w:left="450" w:leftChars="0" w:right="171" w:rightChars="0" w:hanging="240" w:firstLineChars="0"/>
              <w:rPr>
                <w:rFonts w:ascii="宋体" w:hAnsi="宋体" w:eastAsia="宋体" w:cs="宋体"/>
                <w:color w:val="auto"/>
                <w:sz w:val="24"/>
                <w:szCs w:val="22"/>
                <w:lang w:val="zh-CN" w:eastAsia="zh-CN" w:bidi="zh-CN"/>
              </w:rPr>
            </w:pPr>
            <w:r>
              <w:rPr>
                <w:color w:val="auto"/>
                <w:sz w:val="21"/>
                <w:szCs w:val="21"/>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0" w:hRule="atLeast"/>
        </w:trPr>
        <w:tc>
          <w:tcPr>
            <w:tcW w:w="2271" w:type="dxa"/>
            <w:gridSpan w:val="2"/>
            <w:tcBorders>
              <w:left w:val="single" w:color="000000" w:sz="12" w:space="0"/>
            </w:tcBorders>
          </w:tcPr>
          <w:p>
            <w:pPr>
              <w:pStyle w:val="14"/>
              <w:spacing w:line="389" w:lineRule="exact"/>
              <w:ind w:left="155" w:right="133"/>
              <w:jc w:val="center"/>
              <w:rPr>
                <w:rFonts w:hint="eastAsia" w:ascii="Microsoft JhengHei" w:eastAsia="Microsoft JhengHei"/>
                <w:b/>
                <w:color w:val="auto"/>
                <w:sz w:val="24"/>
              </w:rPr>
            </w:pPr>
            <w:r>
              <w:rPr>
                <w:rFonts w:hint="eastAsia" w:ascii="Microsoft JhengHei" w:eastAsia="Microsoft JhengHei"/>
                <w:b/>
                <w:color w:val="auto"/>
                <w:sz w:val="24"/>
              </w:rPr>
              <w:t>污染物排放方式</w:t>
            </w:r>
          </w:p>
          <w:p>
            <w:pPr>
              <w:pStyle w:val="14"/>
              <w:spacing w:line="351" w:lineRule="exact"/>
              <w:ind w:left="155" w:right="133"/>
              <w:jc w:val="center"/>
              <w:rPr>
                <w:rFonts w:hint="eastAsia" w:ascii="Microsoft JhengHei" w:eastAsia="Microsoft JhengHei"/>
                <w:b/>
                <w:color w:val="auto"/>
                <w:sz w:val="24"/>
              </w:rPr>
            </w:pPr>
            <w:r>
              <w:rPr>
                <w:rFonts w:hint="eastAsia" w:ascii="Microsoft JhengHei" w:eastAsia="Microsoft JhengHei"/>
                <w:b/>
                <w:color w:val="auto"/>
                <w:sz w:val="24"/>
              </w:rPr>
              <w:t>及排放去向</w:t>
            </w:r>
          </w:p>
        </w:tc>
        <w:tc>
          <w:tcPr>
            <w:tcW w:w="13343" w:type="dxa"/>
            <w:gridSpan w:val="8"/>
            <w:tcBorders>
              <w:right w:val="single" w:color="000000" w:sz="12" w:space="0"/>
            </w:tcBorders>
          </w:tcPr>
          <w:p>
            <w:pPr>
              <w:rPr>
                <w:rFonts w:hint="eastAsia" w:ascii="Arial" w:hAnsi="Arial" w:eastAsia="宋体" w:cs="Arial"/>
                <w:color w:val="auto"/>
                <w:sz w:val="24"/>
                <w:szCs w:val="24"/>
                <w:lang w:val="en-US" w:eastAsia="zh-CN"/>
              </w:rPr>
            </w:pPr>
            <w:r>
              <w:rPr>
                <w:rFonts w:ascii="Arial" w:hAnsi="Arial" w:cs="Arial"/>
                <w:color w:val="auto"/>
                <w:sz w:val="24"/>
                <w:szCs w:val="24"/>
              </w:rPr>
              <w:t>排放方式：</w:t>
            </w:r>
            <w:r>
              <w:rPr>
                <w:rFonts w:hint="eastAsia" w:ascii="Arial" w:hAnsi="Arial" w:cs="Arial"/>
                <w:color w:val="auto"/>
                <w:sz w:val="24"/>
                <w:szCs w:val="24"/>
                <w:lang w:eastAsia="zh-CN"/>
              </w:rPr>
              <w:t>无</w:t>
            </w:r>
          </w:p>
          <w:p>
            <w:pPr>
              <w:pStyle w:val="14"/>
              <w:spacing w:before="94"/>
              <w:rPr>
                <w:rFonts w:hint="eastAsia" w:eastAsia="宋体"/>
                <w:color w:val="auto"/>
                <w:sz w:val="24"/>
                <w:lang w:eastAsia="zh-CN"/>
              </w:rPr>
            </w:pPr>
            <w:r>
              <w:rPr>
                <w:rFonts w:hint="eastAsia" w:ascii="Arial" w:hAnsi="Arial" w:cs="Arial"/>
                <w:color w:val="auto"/>
                <w:sz w:val="24"/>
                <w:szCs w:val="24"/>
              </w:rPr>
              <w:t>排放去向：</w:t>
            </w:r>
            <w:r>
              <w:rPr>
                <w:rFonts w:hint="eastAsia" w:ascii="Arial" w:hAnsi="Arial" w:cs="Arial"/>
                <w:color w:val="auto"/>
                <w:sz w:val="24"/>
                <w:szCs w:val="24"/>
                <w:lang w:eastAsia="zh-CN"/>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2271" w:type="dxa"/>
            <w:gridSpan w:val="2"/>
            <w:tcBorders>
              <w:left w:val="single" w:color="000000" w:sz="12" w:space="0"/>
            </w:tcBorders>
          </w:tcPr>
          <w:p>
            <w:pPr>
              <w:pStyle w:val="14"/>
              <w:rPr>
                <w:rFonts w:ascii="Microsoft JhengHei"/>
                <w:b/>
                <w:sz w:val="24"/>
              </w:rPr>
            </w:pPr>
          </w:p>
          <w:p>
            <w:pPr>
              <w:pStyle w:val="14"/>
              <w:spacing w:before="7"/>
              <w:rPr>
                <w:rFonts w:ascii="Microsoft JhengHei"/>
                <w:b/>
                <w:sz w:val="15"/>
              </w:rPr>
            </w:pPr>
          </w:p>
          <w:p>
            <w:pPr>
              <w:pStyle w:val="14"/>
              <w:spacing w:line="206" w:lineRule="auto"/>
              <w:ind w:left="1015" w:right="152" w:hanging="840"/>
              <w:rPr>
                <w:rFonts w:hint="eastAsia" w:ascii="Microsoft JhengHei" w:eastAsia="Microsoft JhengHei"/>
                <w:b/>
                <w:sz w:val="24"/>
              </w:rPr>
            </w:pPr>
            <w:r>
              <w:rPr>
                <w:rFonts w:hint="eastAsia" w:ascii="Microsoft JhengHei" w:eastAsia="Microsoft JhengHei"/>
                <w:b/>
                <w:sz w:val="24"/>
              </w:rPr>
              <w:t>采样和样品保存方法</w:t>
            </w:r>
          </w:p>
        </w:tc>
        <w:tc>
          <w:tcPr>
            <w:tcW w:w="13343" w:type="dxa"/>
            <w:gridSpan w:val="8"/>
            <w:tcBorders>
              <w:right w:val="single" w:color="000000" w:sz="12" w:space="0"/>
            </w:tcBorders>
          </w:tcPr>
          <w:p>
            <w:pPr>
              <w:pStyle w:val="14"/>
              <w:spacing w:before="4"/>
              <w:ind w:left="115"/>
              <w:rPr>
                <w:sz w:val="24"/>
              </w:rPr>
            </w:pPr>
            <w:r>
              <w:rPr>
                <w:rFonts w:hint="eastAsia"/>
                <w:sz w:val="24"/>
                <w:lang w:eastAsia="zh-CN"/>
              </w:rPr>
              <w:t>采样和样品保存执行《污水监测技术规范》（</w:t>
            </w:r>
            <w:r>
              <w:rPr>
                <w:rFonts w:hint="eastAsia"/>
                <w:sz w:val="24"/>
                <w:lang w:val="en-US" w:eastAsia="zh-CN"/>
              </w:rPr>
              <w:t>HJ91.1-2019</w:t>
            </w:r>
            <w:r>
              <w:rPr>
                <w:rFonts w:hint="eastAsia"/>
                <w:sz w:val="24"/>
                <w:lang w:eastAsia="zh-CN"/>
              </w:rPr>
              <w:t>）</w:t>
            </w:r>
            <w:r>
              <w:rPr>
                <w:rFonts w:hint="eastAsia"/>
                <w:sz w:val="24"/>
              </w:rPr>
              <w:t>采样个数为</w:t>
            </w:r>
            <w:r>
              <w:rPr>
                <w:rFonts w:hint="eastAsia"/>
                <w:sz w:val="24"/>
                <w:lang w:val="en-US" w:eastAsia="zh-CN"/>
              </w:rPr>
              <w:t>3</w:t>
            </w:r>
            <w:r>
              <w:rPr>
                <w:rFonts w:hint="eastAsia"/>
                <w:sz w:val="24"/>
              </w:rPr>
              <w:t>个。委托有资质的机构处理，并监督委托有资质的机构废水手工采样方法的选择参照相关污染物排放标准及 HJ/T 91、HJ/T 92、HJ 493、HJ 494、 HJ 495 等执行，根据监测指标的特点确定采样方法为混合采样方法或瞬时采样的方法，单次 监测采样频次按相关污染物排放 标准和 HJ/T 91 执行。污水自动监测采样方法参照 HJ/T 353、 HJ/T 354、HJ/T 355、HJ/T 356 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2271" w:type="dxa"/>
            <w:gridSpan w:val="2"/>
            <w:tcBorders>
              <w:left w:val="single" w:color="000000" w:sz="12" w:space="0"/>
            </w:tcBorders>
            <w:vAlign w:val="top"/>
          </w:tcPr>
          <w:p>
            <w:pPr>
              <w:pStyle w:val="14"/>
              <w:spacing w:before="15"/>
              <w:rPr>
                <w:rFonts w:ascii="Microsoft JhengHei"/>
                <w:b/>
                <w:sz w:val="18"/>
              </w:rPr>
            </w:pPr>
          </w:p>
          <w:p>
            <w:pPr>
              <w:pStyle w:val="14"/>
              <w:ind w:left="155" w:leftChars="0" w:right="133"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监测质量控制措施</w:t>
            </w:r>
          </w:p>
        </w:tc>
        <w:tc>
          <w:tcPr>
            <w:tcW w:w="13343" w:type="dxa"/>
            <w:gridSpan w:val="8"/>
            <w:tcBorders>
              <w:right w:val="single" w:color="000000" w:sz="12" w:space="0"/>
            </w:tcBorders>
            <w:vAlign w:val="top"/>
          </w:tcPr>
          <w:p>
            <w:pPr>
              <w:pStyle w:val="14"/>
              <w:spacing w:before="66"/>
              <w:ind w:left="115" w:leftChars="0" w:right="0" w:rightChars="0"/>
              <w:rPr>
                <w:rFonts w:hint="eastAsia" w:ascii="宋体" w:hAnsi="宋体" w:eastAsia="宋体" w:cs="宋体"/>
                <w:sz w:val="24"/>
                <w:szCs w:val="22"/>
                <w:lang w:val="zh-CN" w:eastAsia="zh-CN" w:bidi="zh-CN"/>
              </w:rPr>
            </w:pPr>
            <w:r>
              <w:rPr>
                <w:rFonts w:hint="eastAsia" w:ascii="Arial" w:hAnsi="Arial" w:cs="Arial"/>
                <w:color w:val="auto"/>
                <w:sz w:val="24"/>
                <w:szCs w:val="24"/>
              </w:rPr>
              <w:t>委托有资质的机构检测，排污单位从采样监督、分析监督、监测数据质量上进行监测质量控制。单位监督委托的机构按照排污单位自行监测技术指南组织实施质量控制。或者企业施行的其他的监测质量控制措施。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2271" w:type="dxa"/>
            <w:gridSpan w:val="2"/>
            <w:tcBorders>
              <w:left w:val="single" w:color="000000" w:sz="12" w:space="0"/>
            </w:tcBorders>
            <w:vAlign w:val="top"/>
          </w:tcPr>
          <w:p>
            <w:pPr>
              <w:pStyle w:val="14"/>
              <w:spacing w:before="143" w:line="206" w:lineRule="auto"/>
              <w:ind w:left="655" w:leftChars="0" w:right="632"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监测结果公开时限</w:t>
            </w:r>
          </w:p>
        </w:tc>
        <w:tc>
          <w:tcPr>
            <w:tcW w:w="13343" w:type="dxa"/>
            <w:gridSpan w:val="8"/>
            <w:tcBorders>
              <w:right w:val="single" w:color="000000" w:sz="12" w:space="0"/>
            </w:tcBorders>
            <w:vAlign w:val="top"/>
          </w:tcPr>
          <w:p>
            <w:pPr>
              <w:rPr>
                <w:rFonts w:hint="eastAsia" w:ascii="Arial" w:hAnsi="Arial" w:cs="Arial"/>
                <w:color w:val="auto"/>
                <w:sz w:val="24"/>
                <w:szCs w:val="24"/>
              </w:rPr>
            </w:pPr>
            <w:r>
              <w:rPr>
                <w:rFonts w:ascii="Arial" w:hAnsi="Arial" w:cs="Arial"/>
                <w:color w:val="auto"/>
                <w:sz w:val="24"/>
                <w:szCs w:val="24"/>
              </w:rPr>
              <w:t>手工监测数据在收到监测报告后一周内填报到山东省污染源监测共享系统，自动监测数据在东营市环境监测监控系统上实时公开。</w:t>
            </w:r>
          </w:p>
          <w:p>
            <w:pPr>
              <w:pStyle w:val="14"/>
              <w:spacing w:before="100"/>
              <w:ind w:left="115" w:leftChars="0" w:right="0" w:rightChars="0"/>
              <w:rPr>
                <w:rFonts w:hint="eastAsia" w:ascii="宋体" w:hAnsi="宋体" w:eastAsia="宋体" w:cs="宋体"/>
                <w:sz w:val="24"/>
                <w:szCs w:val="22"/>
                <w:lang w:val="zh-CN" w:eastAsia="zh-CN" w:bidi="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2271" w:type="dxa"/>
            <w:gridSpan w:val="2"/>
            <w:tcBorders>
              <w:left w:val="single" w:color="000000" w:sz="12" w:space="0"/>
            </w:tcBorders>
            <w:vAlign w:val="top"/>
          </w:tcPr>
          <w:p>
            <w:pPr>
              <w:pStyle w:val="14"/>
              <w:spacing w:before="12"/>
              <w:rPr>
                <w:rFonts w:ascii="Microsoft JhengHei"/>
                <w:b/>
                <w:sz w:val="15"/>
              </w:rPr>
            </w:pPr>
          </w:p>
          <w:p>
            <w:pPr>
              <w:pStyle w:val="14"/>
              <w:spacing w:before="1"/>
              <w:ind w:left="155" w:leftChars="0" w:right="133"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备注</w:t>
            </w:r>
          </w:p>
        </w:tc>
        <w:tc>
          <w:tcPr>
            <w:tcW w:w="13343" w:type="dxa"/>
            <w:gridSpan w:val="8"/>
            <w:tcBorders>
              <w:right w:val="single" w:color="000000" w:sz="12" w:space="0"/>
            </w:tcBorders>
            <w:vAlign w:val="top"/>
          </w:tcPr>
          <w:p>
            <w:pPr>
              <w:pStyle w:val="14"/>
              <w:ind w:left="0" w:leftChars="0" w:right="0" w:rightChars="0"/>
              <w:rPr>
                <w:rFonts w:hint="eastAsia" w:ascii="Times New Roman" w:hAnsi="宋体" w:eastAsia="宋体" w:cs="宋体"/>
                <w:sz w:val="24"/>
                <w:szCs w:val="22"/>
                <w:lang w:val="zh-CN" w:eastAsia="zh-CN" w:bidi="zh-CN"/>
              </w:rPr>
            </w:pPr>
          </w:p>
          <w:p>
            <w:pPr>
              <w:pStyle w:val="14"/>
              <w:ind w:left="0" w:leftChars="0" w:right="0" w:rightChars="0"/>
              <w:rPr>
                <w:rFonts w:hint="eastAsia" w:ascii="Times New Roman" w:hAnsi="宋体" w:eastAsia="宋体" w:cs="宋体"/>
                <w:sz w:val="24"/>
                <w:szCs w:val="22"/>
                <w:lang w:val="zh-CN" w:eastAsia="zh-CN" w:bidi="zh-CN"/>
              </w:rPr>
            </w:pPr>
          </w:p>
          <w:p>
            <w:pPr>
              <w:pStyle w:val="14"/>
              <w:ind w:left="0" w:leftChars="0" w:right="0" w:rightChars="0"/>
              <w:rPr>
                <w:rFonts w:hint="eastAsia" w:ascii="Times New Roman" w:hAnsi="宋体" w:eastAsia="宋体" w:cs="宋体"/>
                <w:sz w:val="24"/>
                <w:szCs w:val="22"/>
                <w:lang w:val="zh-CN" w:eastAsia="zh-CN" w:bidi="zh-CN"/>
              </w:rPr>
            </w:pPr>
          </w:p>
          <w:p>
            <w:pPr>
              <w:pStyle w:val="14"/>
              <w:ind w:left="0" w:leftChars="0" w:right="0" w:rightChars="0"/>
              <w:rPr>
                <w:rFonts w:hint="eastAsia" w:ascii="Times New Roman" w:hAnsi="宋体" w:eastAsia="宋体" w:cs="宋体"/>
                <w:sz w:val="24"/>
                <w:szCs w:val="22"/>
                <w:lang w:val="zh-CN" w:eastAsia="zh-CN" w:bidi="zh-CN"/>
              </w:rPr>
            </w:pPr>
          </w:p>
          <w:p>
            <w:pPr>
              <w:pStyle w:val="14"/>
              <w:ind w:left="0" w:leftChars="0" w:right="0" w:rightChars="0"/>
              <w:rPr>
                <w:rFonts w:hint="eastAsia" w:ascii="Times New Roman" w:hAnsi="宋体" w:eastAsia="宋体" w:cs="宋体"/>
                <w:sz w:val="24"/>
                <w:szCs w:val="22"/>
                <w:lang w:val="zh-CN" w:eastAsia="zh-CN" w:bidi="zh-CN"/>
              </w:rPr>
            </w:pPr>
          </w:p>
        </w:tc>
      </w:tr>
    </w:tbl>
    <w:p>
      <w:pPr>
        <w:pStyle w:val="2"/>
        <w:rPr>
          <w:sz w:val="24"/>
        </w:rPr>
      </w:pPr>
    </w:p>
    <w:p>
      <w:pPr>
        <w:pStyle w:val="2"/>
        <w:rPr>
          <w:sz w:val="24"/>
        </w:rPr>
      </w:pPr>
    </w:p>
    <w:p>
      <w:pPr>
        <w:pStyle w:val="2"/>
        <w:rPr>
          <w:sz w:val="24"/>
        </w:rPr>
      </w:pPr>
    </w:p>
    <w:p>
      <w:pPr>
        <w:pStyle w:val="2"/>
        <w:rPr>
          <w:sz w:val="24"/>
        </w:rPr>
      </w:pPr>
    </w:p>
    <w:tbl>
      <w:tblPr>
        <w:tblStyle w:val="8"/>
        <w:tblpPr w:leftFromText="180" w:rightFromText="180" w:vertAnchor="text" w:horzAnchor="page" w:tblpX="728" w:tblpY="144"/>
        <w:tblOverlap w:val="never"/>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7"/>
        <w:gridCol w:w="1874"/>
        <w:gridCol w:w="1966"/>
        <w:gridCol w:w="1405"/>
        <w:gridCol w:w="2654"/>
        <w:gridCol w:w="704"/>
        <w:gridCol w:w="704"/>
        <w:gridCol w:w="1871"/>
        <w:gridCol w:w="1721"/>
        <w:gridCol w:w="23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15614" w:type="dxa"/>
            <w:gridSpan w:val="10"/>
            <w:tcBorders>
              <w:top w:val="nil"/>
              <w:left w:val="nil"/>
              <w:bottom w:val="single" w:color="auto" w:sz="4" w:space="0"/>
              <w:right w:val="nil"/>
            </w:tcBorders>
          </w:tcPr>
          <w:p>
            <w:pPr>
              <w:spacing w:before="0" w:line="484" w:lineRule="exact"/>
              <w:ind w:right="6439"/>
              <w:jc w:val="center"/>
              <w:rPr>
                <w:rFonts w:hint="eastAsia" w:ascii="Microsoft JhengHei" w:eastAsia="Microsoft JhengHei"/>
                <w:b/>
                <w:sz w:val="24"/>
              </w:rPr>
            </w:pPr>
            <w:r>
              <w:rPr>
                <w:rFonts w:hint="eastAsia" w:ascii="Microsoft JhengHei"/>
                <w:b/>
                <w:sz w:val="28"/>
                <w:lang w:val="en-US" w:eastAsia="zh-CN"/>
              </w:rPr>
              <w:t xml:space="preserve">                                                                                       </w:t>
            </w:r>
            <w:r>
              <w:rPr>
                <w:rFonts w:hint="eastAsia" w:ascii="Microsoft JhengHei" w:eastAsia="Microsoft JhengHei"/>
                <w:b/>
                <w:sz w:val="28"/>
              </w:rPr>
              <w:t>厂界噪声自行监测内容表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397" w:type="dxa"/>
            <w:vMerge w:val="restart"/>
            <w:tcBorders>
              <w:top w:val="single" w:color="auto" w:sz="4" w:space="0"/>
              <w:left w:val="single" w:color="000000" w:sz="12" w:space="0"/>
              <w:bottom w:val="single" w:color="auto" w:sz="4" w:space="0"/>
            </w:tcBorders>
          </w:tcPr>
          <w:p>
            <w:pPr>
              <w:pStyle w:val="14"/>
              <w:ind w:left="108"/>
              <w:rPr>
                <w:sz w:val="24"/>
              </w:rPr>
            </w:pPr>
          </w:p>
        </w:tc>
        <w:tc>
          <w:tcPr>
            <w:tcW w:w="1874" w:type="dxa"/>
            <w:tcBorders>
              <w:top w:val="single" w:color="auto" w:sz="4" w:space="0"/>
              <w:bottom w:val="single" w:color="auto" w:sz="4" w:space="0"/>
            </w:tcBorders>
            <w:vAlign w:val="top"/>
          </w:tcPr>
          <w:p>
            <w:pPr>
              <w:pStyle w:val="14"/>
              <w:spacing w:line="358" w:lineRule="exact"/>
              <w:ind w:firstLine="720" w:firstLineChars="300"/>
              <w:rPr>
                <w:rFonts w:hint="eastAsia" w:ascii="Microsoft JhengHei" w:eastAsia="Microsoft JhengHei"/>
                <w:b/>
                <w:sz w:val="24"/>
              </w:rPr>
            </w:pPr>
            <w:r>
              <w:rPr>
                <w:rFonts w:hint="eastAsia" w:ascii="Microsoft JhengHei" w:eastAsia="Microsoft JhengHei"/>
                <w:b/>
                <w:sz w:val="24"/>
              </w:rPr>
              <w:t>监测项目</w:t>
            </w:r>
          </w:p>
          <w:p>
            <w:pPr>
              <w:pStyle w:val="14"/>
              <w:spacing w:line="343" w:lineRule="exact"/>
              <w:ind w:left="108"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监测内容</w:t>
            </w:r>
          </w:p>
        </w:tc>
        <w:tc>
          <w:tcPr>
            <w:tcW w:w="1966" w:type="dxa"/>
            <w:tcBorders>
              <w:top w:val="single" w:color="auto" w:sz="4" w:space="0"/>
              <w:bottom w:val="single" w:color="auto" w:sz="4" w:space="0"/>
            </w:tcBorders>
            <w:vAlign w:val="top"/>
          </w:tcPr>
          <w:p>
            <w:pPr>
              <w:pStyle w:val="14"/>
              <w:spacing w:before="137"/>
              <w:ind w:left="130" w:leftChars="0" w:right="100"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监测点位</w:t>
            </w:r>
          </w:p>
        </w:tc>
        <w:tc>
          <w:tcPr>
            <w:tcW w:w="1405" w:type="dxa"/>
            <w:tcBorders>
              <w:top w:val="single" w:color="auto" w:sz="4" w:space="0"/>
              <w:bottom w:val="single" w:color="auto" w:sz="4" w:space="0"/>
            </w:tcBorders>
            <w:vAlign w:val="top"/>
          </w:tcPr>
          <w:p>
            <w:pPr>
              <w:pStyle w:val="14"/>
              <w:spacing w:before="137"/>
              <w:ind w:left="230"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监测频次</w:t>
            </w:r>
          </w:p>
        </w:tc>
        <w:tc>
          <w:tcPr>
            <w:tcW w:w="2654" w:type="dxa"/>
            <w:tcBorders>
              <w:top w:val="single" w:color="auto" w:sz="4" w:space="0"/>
              <w:bottom w:val="single" w:color="auto" w:sz="4" w:space="0"/>
            </w:tcBorders>
            <w:vAlign w:val="top"/>
          </w:tcPr>
          <w:p>
            <w:pPr>
              <w:pStyle w:val="14"/>
              <w:spacing w:before="137"/>
              <w:ind w:left="614"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执行排放标准</w:t>
            </w:r>
          </w:p>
        </w:tc>
        <w:tc>
          <w:tcPr>
            <w:tcW w:w="1408" w:type="dxa"/>
            <w:gridSpan w:val="2"/>
            <w:tcBorders>
              <w:top w:val="single" w:color="auto" w:sz="4" w:space="0"/>
              <w:bottom w:val="single" w:color="auto" w:sz="4" w:space="0"/>
            </w:tcBorders>
            <w:vAlign w:val="top"/>
          </w:tcPr>
          <w:p>
            <w:pPr>
              <w:pStyle w:val="14"/>
              <w:spacing w:before="137"/>
              <w:ind w:left="120" w:leftChars="0" w:right="121"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标准限值</w:t>
            </w:r>
          </w:p>
        </w:tc>
        <w:tc>
          <w:tcPr>
            <w:tcW w:w="1871" w:type="dxa"/>
            <w:tcBorders>
              <w:top w:val="single" w:color="auto" w:sz="4" w:space="0"/>
              <w:bottom w:val="single" w:color="auto" w:sz="4" w:space="0"/>
            </w:tcBorders>
            <w:vAlign w:val="top"/>
          </w:tcPr>
          <w:p>
            <w:pPr>
              <w:pStyle w:val="14"/>
              <w:spacing w:before="137"/>
              <w:ind w:left="446"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监测方法</w:t>
            </w:r>
          </w:p>
        </w:tc>
        <w:tc>
          <w:tcPr>
            <w:tcW w:w="1721" w:type="dxa"/>
            <w:tcBorders>
              <w:top w:val="single" w:color="auto" w:sz="4" w:space="0"/>
              <w:bottom w:val="single" w:color="auto" w:sz="4" w:space="0"/>
            </w:tcBorders>
            <w:vAlign w:val="top"/>
          </w:tcPr>
          <w:p>
            <w:pPr>
              <w:pStyle w:val="14"/>
              <w:spacing w:before="137"/>
              <w:ind w:left="96" w:leftChars="0" w:right="98"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分析仪器</w:t>
            </w:r>
          </w:p>
        </w:tc>
        <w:tc>
          <w:tcPr>
            <w:tcW w:w="2318" w:type="dxa"/>
            <w:tcBorders>
              <w:top w:val="single" w:color="auto" w:sz="4" w:space="0"/>
              <w:bottom w:val="single" w:color="auto" w:sz="4" w:space="0"/>
              <w:right w:val="single" w:color="000000" w:sz="12" w:space="0"/>
            </w:tcBorders>
            <w:vAlign w:val="top"/>
          </w:tcPr>
          <w:p>
            <w:pPr>
              <w:pStyle w:val="14"/>
              <w:spacing w:before="137"/>
              <w:ind w:left="633" w:leftChars="0" w:right="629"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397" w:type="dxa"/>
            <w:vMerge w:val="continue"/>
            <w:tcBorders>
              <w:top w:val="single" w:color="auto" w:sz="4" w:space="0"/>
              <w:left w:val="single" w:color="000000" w:sz="12" w:space="0"/>
            </w:tcBorders>
          </w:tcPr>
          <w:p>
            <w:pPr>
              <w:pStyle w:val="14"/>
              <w:ind w:left="108"/>
              <w:rPr>
                <w:sz w:val="24"/>
              </w:rPr>
            </w:pPr>
          </w:p>
        </w:tc>
        <w:tc>
          <w:tcPr>
            <w:tcW w:w="1874" w:type="dxa"/>
            <w:tcBorders>
              <w:top w:val="single" w:color="auto" w:sz="4" w:space="0"/>
            </w:tcBorders>
            <w:vAlign w:val="top"/>
          </w:tcPr>
          <w:p>
            <w:pPr>
              <w:pStyle w:val="14"/>
              <w:spacing w:before="16" w:line="249" w:lineRule="auto"/>
              <w:ind w:left="115" w:leftChars="0" w:right="61" w:rightChars="0" w:firstLine="109" w:firstLineChars="0"/>
              <w:rPr>
                <w:rFonts w:ascii="宋体" w:hAnsi="宋体" w:eastAsia="宋体" w:cs="宋体"/>
                <w:sz w:val="24"/>
                <w:szCs w:val="22"/>
                <w:lang w:val="zh-CN" w:eastAsia="zh-CN" w:bidi="zh-CN"/>
              </w:rPr>
            </w:pPr>
            <w:r>
              <w:rPr>
                <w:sz w:val="24"/>
              </w:rPr>
              <w:t>工业企业厂界环境噪声(夜间)</w:t>
            </w:r>
          </w:p>
        </w:tc>
        <w:tc>
          <w:tcPr>
            <w:tcW w:w="1966" w:type="dxa"/>
            <w:tcBorders>
              <w:top w:val="single" w:color="auto" w:sz="4" w:space="0"/>
            </w:tcBorders>
            <w:vAlign w:val="top"/>
          </w:tcPr>
          <w:p>
            <w:pPr>
              <w:pStyle w:val="14"/>
              <w:spacing w:before="5"/>
              <w:rPr>
                <w:rFonts w:ascii="Microsoft JhengHei"/>
                <w:b/>
                <w:sz w:val="18"/>
              </w:rPr>
            </w:pPr>
          </w:p>
          <w:p>
            <w:pPr>
              <w:pStyle w:val="14"/>
              <w:ind w:left="130" w:leftChars="0" w:right="100" w:rightChars="0"/>
              <w:jc w:val="center"/>
              <w:rPr>
                <w:rFonts w:ascii="宋体" w:hAnsi="宋体" w:eastAsia="宋体" w:cs="宋体"/>
                <w:sz w:val="24"/>
                <w:szCs w:val="22"/>
                <w:lang w:val="zh-CN" w:eastAsia="zh-CN" w:bidi="zh-CN"/>
              </w:rPr>
            </w:pPr>
            <w:r>
              <w:rPr>
                <w:sz w:val="24"/>
              </w:rPr>
              <w:t>厂界</w:t>
            </w:r>
          </w:p>
        </w:tc>
        <w:tc>
          <w:tcPr>
            <w:tcW w:w="1405" w:type="dxa"/>
            <w:tcBorders>
              <w:top w:val="single" w:color="auto" w:sz="4" w:space="0"/>
            </w:tcBorders>
            <w:vAlign w:val="top"/>
          </w:tcPr>
          <w:p>
            <w:pPr>
              <w:pStyle w:val="14"/>
              <w:spacing w:before="5"/>
              <w:rPr>
                <w:rFonts w:ascii="Microsoft JhengHei"/>
                <w:b/>
                <w:sz w:val="18"/>
              </w:rPr>
            </w:pPr>
          </w:p>
          <w:p>
            <w:pPr>
              <w:pStyle w:val="14"/>
              <w:ind w:left="200" w:leftChars="0" w:right="0" w:rightChars="0"/>
              <w:rPr>
                <w:rFonts w:ascii="宋体" w:hAnsi="宋体" w:eastAsia="宋体" w:cs="宋体"/>
                <w:sz w:val="24"/>
                <w:szCs w:val="22"/>
                <w:lang w:val="zh-CN" w:eastAsia="zh-CN" w:bidi="zh-CN"/>
              </w:rPr>
            </w:pPr>
            <w:r>
              <w:rPr>
                <w:sz w:val="24"/>
              </w:rPr>
              <w:t>1 季度/次</w:t>
            </w:r>
          </w:p>
        </w:tc>
        <w:tc>
          <w:tcPr>
            <w:tcW w:w="2654" w:type="dxa"/>
            <w:tcBorders>
              <w:top w:val="single" w:color="auto" w:sz="4" w:space="0"/>
            </w:tcBorders>
            <w:vAlign w:val="top"/>
          </w:tcPr>
          <w:p>
            <w:pPr>
              <w:pStyle w:val="14"/>
              <w:spacing w:before="16" w:line="249" w:lineRule="auto"/>
              <w:ind w:left="134" w:right="102"/>
              <w:jc w:val="center"/>
              <w:rPr>
                <w:sz w:val="24"/>
              </w:rPr>
            </w:pPr>
            <w:r>
              <w:rPr>
                <w:sz w:val="24"/>
              </w:rPr>
              <w:t>工业企业厂界环境噪声排放标准(GB 12348-</w:t>
            </w:r>
          </w:p>
          <w:p>
            <w:pPr>
              <w:pStyle w:val="14"/>
              <w:spacing w:line="284" w:lineRule="exact"/>
              <w:ind w:left="132" w:leftChars="0" w:right="102" w:rightChars="0"/>
              <w:jc w:val="center"/>
              <w:rPr>
                <w:rFonts w:ascii="宋体" w:hAnsi="宋体" w:eastAsia="宋体" w:cs="宋体"/>
                <w:sz w:val="24"/>
                <w:szCs w:val="22"/>
                <w:lang w:val="zh-CN" w:eastAsia="zh-CN" w:bidi="zh-CN"/>
              </w:rPr>
            </w:pPr>
            <w:r>
              <w:rPr>
                <w:sz w:val="24"/>
              </w:rPr>
              <w:t>2008)</w:t>
            </w:r>
          </w:p>
        </w:tc>
        <w:tc>
          <w:tcPr>
            <w:tcW w:w="1408" w:type="dxa"/>
            <w:gridSpan w:val="2"/>
            <w:tcBorders>
              <w:top w:val="single" w:color="auto" w:sz="4" w:space="0"/>
            </w:tcBorders>
            <w:vAlign w:val="top"/>
          </w:tcPr>
          <w:p>
            <w:pPr>
              <w:pStyle w:val="14"/>
              <w:spacing w:before="5"/>
              <w:rPr>
                <w:rFonts w:ascii="Microsoft JhengHei"/>
                <w:b/>
                <w:sz w:val="18"/>
              </w:rPr>
            </w:pPr>
          </w:p>
          <w:p>
            <w:pPr>
              <w:pStyle w:val="14"/>
              <w:ind w:left="411" w:leftChars="0" w:right="0" w:rightChars="0"/>
              <w:rPr>
                <w:rFonts w:ascii="宋体" w:hAnsi="宋体" w:eastAsia="宋体" w:cs="宋体"/>
                <w:sz w:val="24"/>
                <w:szCs w:val="22"/>
                <w:lang w:val="zh-CN" w:eastAsia="zh-CN" w:bidi="zh-CN"/>
              </w:rPr>
            </w:pPr>
            <w:r>
              <w:rPr>
                <w:sz w:val="24"/>
              </w:rPr>
              <w:t>55 dB</w:t>
            </w:r>
          </w:p>
        </w:tc>
        <w:tc>
          <w:tcPr>
            <w:tcW w:w="1871" w:type="dxa"/>
            <w:tcBorders>
              <w:top w:val="single" w:color="auto" w:sz="4" w:space="0"/>
            </w:tcBorders>
            <w:vAlign w:val="top"/>
          </w:tcPr>
          <w:p>
            <w:pPr>
              <w:pStyle w:val="14"/>
              <w:spacing w:before="3" w:line="320" w:lineRule="atLeast"/>
              <w:ind w:left="193" w:leftChars="0" w:right="162" w:rightChars="0" w:firstLine="30" w:firstLineChars="0"/>
              <w:jc w:val="both"/>
              <w:rPr>
                <w:rFonts w:ascii="宋体" w:hAnsi="宋体" w:eastAsia="宋体" w:cs="宋体"/>
                <w:sz w:val="24"/>
                <w:szCs w:val="22"/>
                <w:lang w:val="zh-CN" w:eastAsia="zh-CN" w:bidi="zh-CN"/>
              </w:rPr>
            </w:pPr>
            <w:r>
              <w:rPr>
                <w:sz w:val="24"/>
              </w:rPr>
              <w:t>工业企业厂界环境噪声排放</w:t>
            </w:r>
            <w:r>
              <w:rPr>
                <w:spacing w:val="-20"/>
                <w:sz w:val="24"/>
              </w:rPr>
              <w:t xml:space="preserve">标准 </w:t>
            </w:r>
            <w:r>
              <w:rPr>
                <w:spacing w:val="-3"/>
                <w:sz w:val="24"/>
              </w:rPr>
              <w:t>GB12348-</w:t>
            </w:r>
          </w:p>
        </w:tc>
        <w:tc>
          <w:tcPr>
            <w:tcW w:w="1721" w:type="dxa"/>
            <w:tcBorders>
              <w:top w:val="single" w:color="auto" w:sz="4" w:space="0"/>
            </w:tcBorders>
            <w:vAlign w:val="top"/>
          </w:tcPr>
          <w:p>
            <w:pPr>
              <w:pStyle w:val="14"/>
              <w:spacing w:before="5"/>
              <w:rPr>
                <w:rFonts w:ascii="Microsoft JhengHei"/>
                <w:b/>
                <w:sz w:val="18"/>
              </w:rPr>
            </w:pPr>
          </w:p>
          <w:p>
            <w:pPr>
              <w:pStyle w:val="14"/>
              <w:ind w:left="127" w:leftChars="0" w:right="97" w:rightChars="0"/>
              <w:jc w:val="center"/>
              <w:rPr>
                <w:rFonts w:ascii="宋体" w:hAnsi="宋体" w:eastAsia="宋体" w:cs="宋体"/>
                <w:sz w:val="24"/>
                <w:szCs w:val="22"/>
                <w:lang w:val="zh-CN" w:eastAsia="zh-CN" w:bidi="zh-CN"/>
              </w:rPr>
            </w:pPr>
            <w:r>
              <w:rPr>
                <w:sz w:val="24"/>
              </w:rPr>
              <w:t>噪声计</w:t>
            </w:r>
          </w:p>
        </w:tc>
        <w:tc>
          <w:tcPr>
            <w:tcW w:w="2318" w:type="dxa"/>
            <w:tcBorders>
              <w:top w:val="single" w:color="auto" w:sz="4" w:space="0"/>
              <w:right w:val="single" w:color="000000" w:sz="12" w:space="0"/>
            </w:tcBorders>
            <w:vAlign w:val="top"/>
          </w:tcPr>
          <w:p>
            <w:pPr>
              <w:pStyle w:val="14"/>
              <w:ind w:right="629" w:rightChars="0"/>
              <w:jc w:val="both"/>
              <w:rPr>
                <w:rFonts w:ascii="宋体" w:hAnsi="宋体" w:eastAsia="宋体" w:cs="宋体"/>
                <w:sz w:val="24"/>
                <w:szCs w:val="22"/>
                <w:lang w:val="zh-CN" w:eastAsia="zh-CN" w:bidi="zh-CN"/>
              </w:rPr>
            </w:pPr>
            <w:r>
              <w:rPr>
                <w:rFonts w:hint="eastAsia"/>
                <w:sz w:val="24"/>
                <w:lang w:eastAsia="zh-CN"/>
              </w:rPr>
              <w:t>依托山东石大胜华化工集团股份有限公司厂界噪声检测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9" w:hRule="atLeast"/>
        </w:trPr>
        <w:tc>
          <w:tcPr>
            <w:tcW w:w="397" w:type="dxa"/>
            <w:vMerge w:val="continue"/>
            <w:tcBorders>
              <w:top w:val="nil"/>
              <w:left w:val="single" w:color="000000" w:sz="12" w:space="0"/>
            </w:tcBorders>
          </w:tcPr>
          <w:p>
            <w:pPr>
              <w:rPr>
                <w:sz w:val="2"/>
                <w:szCs w:val="2"/>
              </w:rPr>
            </w:pPr>
          </w:p>
        </w:tc>
        <w:tc>
          <w:tcPr>
            <w:tcW w:w="1874" w:type="dxa"/>
          </w:tcPr>
          <w:p>
            <w:pPr>
              <w:pStyle w:val="14"/>
              <w:spacing w:before="170" w:line="249" w:lineRule="auto"/>
              <w:ind w:left="115" w:right="61" w:firstLine="109"/>
              <w:rPr>
                <w:sz w:val="24"/>
              </w:rPr>
            </w:pPr>
            <w:r>
              <w:rPr>
                <w:sz w:val="24"/>
              </w:rPr>
              <w:t>工业企业厂界环境噪声(昼间)</w:t>
            </w:r>
          </w:p>
        </w:tc>
        <w:tc>
          <w:tcPr>
            <w:tcW w:w="1966" w:type="dxa"/>
          </w:tcPr>
          <w:p>
            <w:pPr>
              <w:pStyle w:val="14"/>
              <w:spacing w:before="11"/>
              <w:rPr>
                <w:rFonts w:ascii="Microsoft JhengHei"/>
                <w:b/>
                <w:sz w:val="26"/>
              </w:rPr>
            </w:pPr>
          </w:p>
          <w:p>
            <w:pPr>
              <w:pStyle w:val="14"/>
              <w:spacing w:before="1"/>
              <w:ind w:left="130" w:right="100"/>
              <w:jc w:val="center"/>
              <w:rPr>
                <w:sz w:val="24"/>
              </w:rPr>
            </w:pPr>
            <w:r>
              <w:rPr>
                <w:sz w:val="24"/>
              </w:rPr>
              <w:t>厂界</w:t>
            </w:r>
          </w:p>
        </w:tc>
        <w:tc>
          <w:tcPr>
            <w:tcW w:w="1405" w:type="dxa"/>
          </w:tcPr>
          <w:p>
            <w:pPr>
              <w:pStyle w:val="14"/>
              <w:spacing w:before="11"/>
              <w:rPr>
                <w:rFonts w:ascii="Microsoft JhengHei"/>
                <w:b/>
                <w:sz w:val="26"/>
              </w:rPr>
            </w:pPr>
          </w:p>
          <w:p>
            <w:pPr>
              <w:pStyle w:val="14"/>
              <w:spacing w:before="1"/>
              <w:ind w:left="149" w:right="119"/>
              <w:jc w:val="center"/>
              <w:rPr>
                <w:sz w:val="24"/>
              </w:rPr>
            </w:pPr>
            <w:r>
              <w:rPr>
                <w:sz w:val="24"/>
              </w:rPr>
              <w:t>1 季度/次</w:t>
            </w:r>
          </w:p>
        </w:tc>
        <w:tc>
          <w:tcPr>
            <w:tcW w:w="2654" w:type="dxa"/>
          </w:tcPr>
          <w:p>
            <w:pPr>
              <w:pStyle w:val="14"/>
              <w:spacing w:before="170" w:line="249" w:lineRule="auto"/>
              <w:ind w:left="134" w:right="102"/>
              <w:jc w:val="center"/>
              <w:rPr>
                <w:sz w:val="24"/>
              </w:rPr>
            </w:pPr>
            <w:r>
              <w:rPr>
                <w:sz w:val="24"/>
              </w:rPr>
              <w:t>工业企业厂界环境噪声排放标准(GB 12348-</w:t>
            </w:r>
          </w:p>
          <w:p>
            <w:pPr>
              <w:pStyle w:val="14"/>
              <w:ind w:left="132" w:right="102"/>
              <w:jc w:val="center"/>
              <w:rPr>
                <w:sz w:val="24"/>
              </w:rPr>
            </w:pPr>
            <w:r>
              <w:rPr>
                <w:sz w:val="24"/>
              </w:rPr>
              <w:t>2008)</w:t>
            </w:r>
          </w:p>
        </w:tc>
        <w:tc>
          <w:tcPr>
            <w:tcW w:w="704" w:type="dxa"/>
            <w:tcBorders>
              <w:right w:val="nil"/>
            </w:tcBorders>
          </w:tcPr>
          <w:p>
            <w:pPr>
              <w:pStyle w:val="14"/>
              <w:spacing w:before="11"/>
              <w:rPr>
                <w:rFonts w:ascii="Microsoft JhengHei"/>
                <w:b/>
                <w:sz w:val="26"/>
              </w:rPr>
            </w:pPr>
          </w:p>
          <w:p>
            <w:pPr>
              <w:pStyle w:val="14"/>
              <w:spacing w:before="1"/>
              <w:ind w:right="43"/>
              <w:jc w:val="right"/>
              <w:rPr>
                <w:sz w:val="24"/>
              </w:rPr>
            </w:pPr>
            <w:r>
              <w:rPr>
                <w:sz w:val="24"/>
              </w:rPr>
              <w:t>65</w:t>
            </w:r>
          </w:p>
        </w:tc>
        <w:tc>
          <w:tcPr>
            <w:tcW w:w="704" w:type="dxa"/>
            <w:tcBorders>
              <w:left w:val="nil"/>
            </w:tcBorders>
          </w:tcPr>
          <w:p>
            <w:pPr>
              <w:pStyle w:val="14"/>
              <w:spacing w:before="11"/>
              <w:rPr>
                <w:rFonts w:ascii="Microsoft JhengHei"/>
                <w:b/>
                <w:sz w:val="26"/>
              </w:rPr>
            </w:pPr>
          </w:p>
          <w:p>
            <w:pPr>
              <w:pStyle w:val="14"/>
              <w:spacing w:before="1"/>
              <w:ind w:left="74"/>
              <w:rPr>
                <w:sz w:val="24"/>
              </w:rPr>
            </w:pPr>
            <w:r>
              <w:rPr>
                <w:sz w:val="24"/>
              </w:rPr>
              <w:t>dB</w:t>
            </w:r>
          </w:p>
        </w:tc>
        <w:tc>
          <w:tcPr>
            <w:tcW w:w="1871" w:type="dxa"/>
          </w:tcPr>
          <w:p>
            <w:pPr>
              <w:pStyle w:val="14"/>
              <w:spacing w:before="10" w:line="249" w:lineRule="auto"/>
              <w:ind w:left="193" w:right="162" w:firstLine="30"/>
              <w:jc w:val="both"/>
              <w:rPr>
                <w:sz w:val="24"/>
              </w:rPr>
            </w:pPr>
            <w:r>
              <w:rPr>
                <w:sz w:val="24"/>
              </w:rPr>
              <w:t>工业企业厂界环境噪声排放</w:t>
            </w:r>
            <w:r>
              <w:rPr>
                <w:spacing w:val="-20"/>
                <w:sz w:val="24"/>
              </w:rPr>
              <w:t xml:space="preserve">标准 </w:t>
            </w:r>
            <w:r>
              <w:rPr>
                <w:spacing w:val="-3"/>
                <w:sz w:val="24"/>
              </w:rPr>
              <w:t>GB12348-</w:t>
            </w:r>
          </w:p>
          <w:p>
            <w:pPr>
              <w:pStyle w:val="14"/>
              <w:spacing w:line="290" w:lineRule="exact"/>
              <w:ind w:left="143" w:right="113"/>
              <w:jc w:val="center"/>
              <w:rPr>
                <w:sz w:val="24"/>
              </w:rPr>
            </w:pPr>
            <w:r>
              <w:rPr>
                <w:sz w:val="24"/>
              </w:rPr>
              <w:t>2008</w:t>
            </w:r>
          </w:p>
        </w:tc>
        <w:tc>
          <w:tcPr>
            <w:tcW w:w="1721" w:type="dxa"/>
          </w:tcPr>
          <w:p>
            <w:pPr>
              <w:pStyle w:val="14"/>
              <w:spacing w:before="11"/>
              <w:rPr>
                <w:rFonts w:ascii="Microsoft JhengHei"/>
                <w:b/>
                <w:sz w:val="26"/>
              </w:rPr>
            </w:pPr>
          </w:p>
          <w:p>
            <w:pPr>
              <w:pStyle w:val="14"/>
              <w:spacing w:before="1"/>
              <w:ind w:right="477"/>
              <w:jc w:val="right"/>
              <w:rPr>
                <w:sz w:val="24"/>
              </w:rPr>
            </w:pPr>
            <w:r>
              <w:rPr>
                <w:sz w:val="24"/>
              </w:rPr>
              <w:t>噪声计</w:t>
            </w:r>
          </w:p>
        </w:tc>
        <w:tc>
          <w:tcPr>
            <w:tcW w:w="2318" w:type="dxa"/>
            <w:tcBorders>
              <w:right w:val="single" w:color="000000" w:sz="12" w:space="0"/>
            </w:tcBorders>
          </w:tcPr>
          <w:p>
            <w:pPr>
              <w:pStyle w:val="14"/>
              <w:spacing w:before="1"/>
              <w:rPr>
                <w:sz w:val="24"/>
              </w:rPr>
            </w:pPr>
            <w:r>
              <w:rPr>
                <w:rFonts w:hint="eastAsia"/>
                <w:sz w:val="24"/>
                <w:lang w:eastAsia="zh-CN"/>
              </w:rPr>
              <w:t>依托山东石大胜华化工集团股份有限公司厂界噪声检测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9" w:hRule="atLeast"/>
        </w:trPr>
        <w:tc>
          <w:tcPr>
            <w:tcW w:w="2271" w:type="dxa"/>
            <w:gridSpan w:val="2"/>
            <w:tcBorders>
              <w:left w:val="single" w:color="000000" w:sz="12" w:space="0"/>
            </w:tcBorders>
          </w:tcPr>
          <w:p>
            <w:pPr>
              <w:pStyle w:val="14"/>
              <w:spacing w:line="389" w:lineRule="exact"/>
              <w:ind w:left="155" w:right="133"/>
              <w:jc w:val="center"/>
              <w:rPr>
                <w:rFonts w:hint="eastAsia" w:ascii="Microsoft JhengHei" w:eastAsia="Microsoft JhengHei"/>
                <w:b/>
                <w:sz w:val="24"/>
              </w:rPr>
            </w:pPr>
            <w:r>
              <w:rPr>
                <w:rFonts w:hint="eastAsia" w:ascii="Microsoft JhengHei" w:eastAsia="Microsoft JhengHei"/>
                <w:b/>
                <w:sz w:val="24"/>
              </w:rPr>
              <w:t>污染物排放方式</w:t>
            </w:r>
          </w:p>
          <w:p>
            <w:pPr>
              <w:pStyle w:val="14"/>
              <w:spacing w:line="351" w:lineRule="exact"/>
              <w:ind w:left="155" w:right="133"/>
              <w:jc w:val="center"/>
              <w:rPr>
                <w:rFonts w:hint="eastAsia" w:ascii="Microsoft JhengHei" w:eastAsia="Microsoft JhengHei"/>
                <w:b/>
                <w:sz w:val="24"/>
              </w:rPr>
            </w:pPr>
            <w:r>
              <w:rPr>
                <w:rFonts w:hint="eastAsia" w:ascii="Microsoft JhengHei" w:eastAsia="Microsoft JhengHei"/>
                <w:b/>
                <w:sz w:val="24"/>
              </w:rPr>
              <w:t>及排放去向</w:t>
            </w:r>
          </w:p>
        </w:tc>
        <w:tc>
          <w:tcPr>
            <w:tcW w:w="13343" w:type="dxa"/>
            <w:gridSpan w:val="8"/>
            <w:tcBorders>
              <w:right w:val="single" w:color="000000" w:sz="12" w:space="0"/>
            </w:tcBorders>
          </w:tcPr>
          <w:p>
            <w:pPr>
              <w:rPr>
                <w:rFonts w:hint="eastAsia" w:ascii="Arial" w:hAnsi="Arial" w:cs="Arial"/>
                <w:sz w:val="24"/>
                <w:szCs w:val="24"/>
              </w:rPr>
            </w:pPr>
            <w:r>
              <w:rPr>
                <w:rFonts w:ascii="Arial" w:hAnsi="Arial" w:cs="Arial"/>
                <w:sz w:val="24"/>
                <w:szCs w:val="24"/>
              </w:rPr>
              <w:t>排放方式</w:t>
            </w:r>
            <w:r>
              <w:rPr>
                <w:rFonts w:hint="eastAsia" w:ascii="Arial" w:hAnsi="Arial" w:cs="Arial"/>
                <w:sz w:val="24"/>
                <w:szCs w:val="24"/>
              </w:rPr>
              <w:t>:自然排放</w:t>
            </w:r>
          </w:p>
          <w:p>
            <w:pPr>
              <w:pStyle w:val="14"/>
              <w:spacing w:before="94"/>
              <w:ind w:left="115"/>
              <w:rPr>
                <w:sz w:val="24"/>
              </w:rPr>
            </w:pPr>
            <w:r>
              <w:rPr>
                <w:rFonts w:hint="eastAsia" w:ascii="Arial" w:hAnsi="Arial" w:cs="Arial"/>
                <w:sz w:val="24"/>
                <w:szCs w:val="24"/>
              </w:rPr>
              <w:t>排放去向：厂界外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9" w:hRule="atLeast"/>
        </w:trPr>
        <w:tc>
          <w:tcPr>
            <w:tcW w:w="2271" w:type="dxa"/>
            <w:gridSpan w:val="2"/>
            <w:tcBorders>
              <w:left w:val="single" w:color="000000" w:sz="12" w:space="0"/>
            </w:tcBorders>
            <w:vAlign w:val="top"/>
          </w:tcPr>
          <w:p>
            <w:pPr>
              <w:pStyle w:val="14"/>
              <w:spacing w:before="103" w:line="206" w:lineRule="auto"/>
              <w:ind w:left="1015" w:leftChars="0" w:right="152" w:rightChars="0" w:hanging="840" w:firstLine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采样和样品保存方法</w:t>
            </w:r>
          </w:p>
        </w:tc>
        <w:tc>
          <w:tcPr>
            <w:tcW w:w="13343" w:type="dxa"/>
            <w:gridSpan w:val="8"/>
            <w:tcBorders>
              <w:right w:val="single" w:color="000000" w:sz="12" w:space="0"/>
            </w:tcBorders>
            <w:vAlign w:val="top"/>
          </w:tcPr>
          <w:p>
            <w:pPr>
              <w:pStyle w:val="14"/>
              <w:spacing w:before="94"/>
              <w:ind w:left="115" w:leftChars="0" w:right="0" w:rightChars="0"/>
              <w:rPr>
                <w:rFonts w:hint="eastAsia" w:ascii="宋体" w:hAnsi="宋体" w:eastAsia="宋体" w:cs="宋体"/>
                <w:sz w:val="24"/>
                <w:szCs w:val="22"/>
                <w:lang w:val="zh-CN" w:eastAsia="zh-CN" w:bidi="zh-CN"/>
              </w:rPr>
            </w:pPr>
            <w:r>
              <w:rPr>
                <w:rFonts w:hint="eastAsia" w:ascii="宋体" w:hAnsi="宋体"/>
              </w:rPr>
              <w:t>现场监测，监督委托单位实施。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9" w:hRule="atLeast"/>
        </w:trPr>
        <w:tc>
          <w:tcPr>
            <w:tcW w:w="2271" w:type="dxa"/>
            <w:gridSpan w:val="2"/>
            <w:tcBorders>
              <w:left w:val="single" w:color="000000" w:sz="12" w:space="0"/>
            </w:tcBorders>
            <w:vAlign w:val="top"/>
          </w:tcPr>
          <w:p>
            <w:pPr>
              <w:pStyle w:val="14"/>
              <w:spacing w:before="9"/>
              <w:rPr>
                <w:rFonts w:ascii="Microsoft JhengHei"/>
                <w:b/>
                <w:sz w:val="13"/>
              </w:rPr>
            </w:pPr>
          </w:p>
          <w:p>
            <w:pPr>
              <w:pStyle w:val="14"/>
              <w:ind w:left="155" w:leftChars="0" w:right="133"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监测质量控制措施</w:t>
            </w:r>
          </w:p>
        </w:tc>
        <w:tc>
          <w:tcPr>
            <w:tcW w:w="13343" w:type="dxa"/>
            <w:gridSpan w:val="8"/>
            <w:tcBorders>
              <w:right w:val="single" w:color="000000" w:sz="12" w:space="0"/>
            </w:tcBorders>
            <w:vAlign w:val="top"/>
          </w:tcPr>
          <w:p>
            <w:pPr>
              <w:pStyle w:val="14"/>
              <w:spacing w:before="94"/>
              <w:ind w:left="115" w:leftChars="0" w:right="0" w:rightChars="0"/>
              <w:rPr>
                <w:rFonts w:hint="eastAsia" w:ascii="宋体" w:hAnsi="宋体" w:eastAsia="宋体" w:cs="宋体"/>
                <w:color w:val="auto"/>
                <w:sz w:val="24"/>
                <w:szCs w:val="22"/>
                <w:lang w:val="zh-CN" w:eastAsia="zh-CN" w:bidi="zh-CN"/>
              </w:rPr>
            </w:pPr>
            <w:r>
              <w:rPr>
                <w:rFonts w:hint="eastAsia" w:ascii="Arial" w:hAnsi="Arial" w:cs="Arial"/>
                <w:color w:val="auto"/>
                <w:sz w:val="24"/>
                <w:szCs w:val="24"/>
              </w:rPr>
              <w:t>委托有资质的机构检测，排污单位从采样监督、分析监督、监测数据质量上进行监测质量控制。排污单位监督委托的机构按照排污单位自行监测技术指南组织实施质量控制。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9" w:hRule="atLeast"/>
        </w:trPr>
        <w:tc>
          <w:tcPr>
            <w:tcW w:w="2271" w:type="dxa"/>
            <w:gridSpan w:val="2"/>
            <w:tcBorders>
              <w:left w:val="single" w:color="000000" w:sz="12" w:space="0"/>
            </w:tcBorders>
            <w:vAlign w:val="top"/>
          </w:tcPr>
          <w:p>
            <w:pPr>
              <w:pStyle w:val="14"/>
              <w:spacing w:before="137" w:line="206" w:lineRule="auto"/>
              <w:ind w:left="655" w:leftChars="0" w:right="632"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监测结果公开时限</w:t>
            </w:r>
          </w:p>
        </w:tc>
        <w:tc>
          <w:tcPr>
            <w:tcW w:w="13343" w:type="dxa"/>
            <w:gridSpan w:val="8"/>
            <w:tcBorders>
              <w:right w:val="single" w:color="000000" w:sz="12" w:space="0"/>
            </w:tcBorders>
            <w:vAlign w:val="top"/>
          </w:tcPr>
          <w:p>
            <w:pPr>
              <w:rPr>
                <w:rFonts w:hint="eastAsia" w:ascii="Arial" w:hAnsi="Arial" w:cs="Arial"/>
                <w:color w:val="auto"/>
                <w:sz w:val="24"/>
                <w:szCs w:val="24"/>
              </w:rPr>
            </w:pPr>
            <w:r>
              <w:rPr>
                <w:rFonts w:ascii="Arial" w:hAnsi="Arial" w:cs="Arial"/>
                <w:color w:val="auto"/>
                <w:sz w:val="24"/>
                <w:szCs w:val="24"/>
              </w:rPr>
              <w:t>手工监测数据在收到监测报告后一周内填报到山东省污染源监测共享系统，自动监测数据在东营市环境监测监控系统上实时公开。</w:t>
            </w:r>
          </w:p>
          <w:p>
            <w:pPr>
              <w:pStyle w:val="14"/>
              <w:spacing w:before="94"/>
              <w:ind w:left="115" w:leftChars="0" w:right="0" w:rightChars="0"/>
              <w:rPr>
                <w:rFonts w:hint="eastAsia" w:ascii="宋体" w:hAnsi="宋体" w:eastAsia="宋体" w:cs="宋体"/>
                <w:color w:val="auto"/>
                <w:sz w:val="24"/>
                <w:szCs w:val="22"/>
                <w:lang w:val="zh-CN" w:eastAsia="zh-CN" w:bidi="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9" w:hRule="atLeast"/>
        </w:trPr>
        <w:tc>
          <w:tcPr>
            <w:tcW w:w="2271" w:type="dxa"/>
            <w:gridSpan w:val="2"/>
            <w:tcBorders>
              <w:left w:val="single" w:color="000000" w:sz="12" w:space="0"/>
            </w:tcBorders>
            <w:vAlign w:val="top"/>
          </w:tcPr>
          <w:p>
            <w:pPr>
              <w:pStyle w:val="14"/>
              <w:spacing w:before="6"/>
              <w:rPr>
                <w:rFonts w:ascii="Microsoft JhengHei"/>
                <w:b/>
                <w:sz w:val="15"/>
              </w:rPr>
            </w:pPr>
          </w:p>
          <w:p>
            <w:pPr>
              <w:pStyle w:val="14"/>
              <w:spacing w:before="1"/>
              <w:ind w:left="155" w:leftChars="0" w:right="133"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备注</w:t>
            </w:r>
          </w:p>
        </w:tc>
        <w:tc>
          <w:tcPr>
            <w:tcW w:w="13343" w:type="dxa"/>
            <w:gridSpan w:val="8"/>
            <w:tcBorders>
              <w:right w:val="single" w:color="000000" w:sz="12" w:space="0"/>
            </w:tcBorders>
            <w:vAlign w:val="top"/>
          </w:tcPr>
          <w:p>
            <w:pPr>
              <w:pStyle w:val="14"/>
              <w:ind w:left="0" w:leftChars="0" w:right="0" w:rightChars="0"/>
              <w:rPr>
                <w:rFonts w:hint="eastAsia" w:ascii="Times New Roman" w:hAnsi="宋体" w:eastAsia="宋体" w:cs="宋体"/>
                <w:sz w:val="24"/>
                <w:szCs w:val="22"/>
                <w:lang w:val="zh-CN" w:eastAsia="zh-CN" w:bidi="zh-CN"/>
              </w:rPr>
            </w:pPr>
          </w:p>
        </w:tc>
      </w:tr>
    </w:tbl>
    <w:p>
      <w:pPr>
        <w:pStyle w:val="2"/>
        <w:rPr>
          <w:sz w:val="24"/>
        </w:rPr>
        <w:sectPr>
          <w:pgSz w:w="16840" w:h="11910" w:orient="landscape"/>
          <w:pgMar w:top="720" w:right="420" w:bottom="280" w:left="480" w:header="720" w:footer="720" w:gutter="0"/>
          <w:pgBorders>
            <w:top w:val="none" w:sz="0" w:space="0"/>
            <w:left w:val="none" w:sz="0" w:space="0"/>
            <w:bottom w:val="none" w:sz="0" w:space="0"/>
            <w:right w:val="none" w:sz="0" w:space="0"/>
          </w:pgBorders>
        </w:sectPr>
      </w:pPr>
    </w:p>
    <w:p>
      <w:pPr>
        <w:spacing w:before="0" w:line="515" w:lineRule="exact"/>
        <w:ind w:left="698" w:right="0" w:firstLine="0"/>
        <w:jc w:val="left"/>
        <w:rPr>
          <w:rFonts w:hint="eastAsia" w:ascii="Microsoft JhengHei" w:eastAsia="Microsoft JhengHei"/>
          <w:b/>
          <w:sz w:val="32"/>
        </w:rPr>
      </w:pPr>
      <w:r>
        <w:rPr>
          <w:rFonts w:hint="eastAsia" w:ascii="Microsoft JhengHei" w:eastAsia="Microsoft JhengHei"/>
          <w:b/>
          <w:sz w:val="32"/>
        </w:rPr>
        <w:t>三、附件</w:t>
      </w:r>
    </w:p>
    <w:p>
      <w:pPr>
        <w:pStyle w:val="7"/>
        <w:rPr>
          <w:rFonts w:ascii="Microsoft JhengHei"/>
          <w:b/>
          <w:sz w:val="20"/>
        </w:rPr>
      </w:pPr>
    </w:p>
    <w:p>
      <w:pPr>
        <w:pStyle w:val="7"/>
        <w:spacing w:before="14"/>
        <w:rPr>
          <w:rFonts w:ascii="Microsoft JhengHei"/>
          <w:b/>
          <w:sz w:val="17"/>
        </w:rPr>
      </w:pPr>
    </w:p>
    <w:p>
      <w:pPr>
        <w:tabs>
          <w:tab w:val="left" w:pos="769"/>
        </w:tabs>
        <w:spacing w:before="0" w:line="484" w:lineRule="exact"/>
        <w:ind w:left="0" w:right="55" w:firstLine="0"/>
        <w:jc w:val="center"/>
        <w:rPr>
          <w:rFonts w:hint="eastAsia"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1</w:t>
      </w:r>
      <w:r>
        <w:rPr>
          <w:rFonts w:hint="eastAsia" w:ascii="Microsoft JhengHei" w:eastAsia="Microsoft JhengHei"/>
          <w:b/>
          <w:sz w:val="28"/>
        </w:rPr>
        <w:tab/>
      </w:r>
      <w:r>
        <w:rPr>
          <w:rFonts w:hint="eastAsia" w:ascii="Microsoft JhengHei" w:eastAsia="Microsoft JhengHei"/>
          <w:b/>
          <w:sz w:val="28"/>
        </w:rPr>
        <w:t>监测点位示意图</w:t>
      </w:r>
    </w:p>
    <w:p>
      <w:pPr>
        <w:spacing w:before="197" w:line="242" w:lineRule="auto"/>
        <w:ind w:left="218" w:right="347" w:firstLine="640"/>
        <w:jc w:val="both"/>
        <w:rPr>
          <w:rFonts w:hint="eastAsia" w:ascii="仿宋" w:eastAsia="仿宋"/>
          <w:sz w:val="32"/>
        </w:rPr>
      </w:pPr>
      <w:r>
        <w:rPr>
          <w:rFonts w:hint="eastAsia" w:ascii="仿宋" w:eastAsia="仿宋"/>
          <w:sz w:val="32"/>
        </w:rPr>
        <w:t>企业可根据具体情况自行确定比例，标明工厂方位，四邻，标明办公区域、主要生产车间（场所）及主要设备的位置，标明各种污染治理设施的位置，标明排放口及其监测点位的编号及其名称。</w:t>
      </w:r>
    </w:p>
    <w:p>
      <w:pPr>
        <w:pStyle w:val="7"/>
        <w:spacing w:before="9"/>
        <w:rPr>
          <w:sz w:val="12"/>
        </w:rPr>
      </w:pPr>
    </w:p>
    <w:p>
      <w:pPr>
        <w:pStyle w:val="7"/>
        <w:rPr>
          <w:sz w:val="20"/>
        </w:rPr>
      </w:pPr>
    </w:p>
    <w:p>
      <w:pPr>
        <w:pStyle w:val="7"/>
        <w:rPr>
          <w:sz w:val="20"/>
        </w:rPr>
      </w:pPr>
    </w:p>
    <w:p>
      <w:pPr>
        <w:pStyle w:val="7"/>
        <w:rPr>
          <w:sz w:val="20"/>
        </w:rPr>
      </w:pPr>
      <w:r>
        <w:drawing>
          <wp:inline distT="0" distB="0" distL="114300" distR="114300">
            <wp:extent cx="5035550" cy="5722620"/>
            <wp:effectExtent l="0" t="0" r="12700"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5035550" cy="5722620"/>
                    </a:xfrm>
                    <a:prstGeom prst="rect">
                      <a:avLst/>
                    </a:prstGeom>
                    <a:noFill/>
                    <a:ln>
                      <a:noFill/>
                    </a:ln>
                  </pic:spPr>
                </pic:pic>
              </a:graphicData>
            </a:graphic>
          </wp:inline>
        </w:drawing>
      </w:r>
    </w:p>
    <w:p>
      <w:pPr>
        <w:pStyle w:val="7"/>
        <w:rPr>
          <w:sz w:val="20"/>
        </w:rPr>
      </w:pPr>
    </w:p>
    <w:p>
      <w:pPr>
        <w:pStyle w:val="7"/>
        <w:rPr>
          <w:sz w:val="20"/>
        </w:rPr>
      </w:pPr>
    </w:p>
    <w:p>
      <w:pPr>
        <w:pStyle w:val="7"/>
        <w:rPr>
          <w:sz w:val="20"/>
        </w:rPr>
      </w:pPr>
    </w:p>
    <w:p>
      <w:pPr>
        <w:pStyle w:val="7"/>
        <w:spacing w:before="12"/>
        <w:rPr>
          <w:sz w:val="19"/>
        </w:rPr>
      </w:pPr>
    </w:p>
    <w:p>
      <w:pPr>
        <w:tabs>
          <w:tab w:val="left" w:pos="769"/>
        </w:tabs>
        <w:spacing w:before="0" w:line="484" w:lineRule="exact"/>
        <w:ind w:left="0" w:right="55" w:firstLine="0"/>
        <w:jc w:val="center"/>
        <w:rPr>
          <w:rFonts w:hint="eastAsia" w:ascii="Microsoft JhengHei" w:eastAsia="Microsoft JhengHei"/>
          <w:b/>
          <w:sz w:val="28"/>
        </w:rPr>
      </w:pPr>
    </w:p>
    <w:p>
      <w:pPr>
        <w:tabs>
          <w:tab w:val="left" w:pos="769"/>
        </w:tabs>
        <w:spacing w:before="0" w:line="484" w:lineRule="exact"/>
        <w:ind w:left="0" w:right="55" w:firstLine="0"/>
        <w:jc w:val="center"/>
        <w:rPr>
          <w:rFonts w:hint="eastAsia" w:ascii="Microsoft JhengHei" w:eastAsia="Microsoft JhengHei"/>
          <w:b/>
          <w:sz w:val="28"/>
        </w:rPr>
      </w:pPr>
    </w:p>
    <w:p>
      <w:pPr>
        <w:tabs>
          <w:tab w:val="left" w:pos="769"/>
        </w:tabs>
        <w:spacing w:before="0" w:line="484" w:lineRule="exact"/>
        <w:ind w:left="0" w:right="55" w:firstLine="0"/>
        <w:jc w:val="center"/>
        <w:rPr>
          <w:rFonts w:hint="eastAsia"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2</w:t>
      </w:r>
      <w:r>
        <w:rPr>
          <w:rFonts w:hint="eastAsia" w:ascii="Microsoft JhengHei" w:eastAsia="Microsoft JhengHei"/>
          <w:b/>
          <w:sz w:val="28"/>
        </w:rPr>
        <w:tab/>
      </w:r>
      <w:r>
        <w:rPr>
          <w:rFonts w:hint="eastAsia" w:ascii="Microsoft JhengHei" w:eastAsia="Microsoft JhengHei"/>
          <w:b/>
          <w:sz w:val="28"/>
        </w:rPr>
        <w:t>单位平面图</w:t>
      </w:r>
    </w:p>
    <w:p>
      <w:pPr>
        <w:pStyle w:val="2"/>
        <w:rPr>
          <w:rFonts w:hint="eastAsia" w:ascii="Microsoft JhengHei" w:eastAsia="Microsoft JhengHei"/>
          <w:b/>
          <w:sz w:val="28"/>
        </w:rPr>
      </w:pPr>
    </w:p>
    <w:p>
      <w:pPr>
        <w:pStyle w:val="2"/>
        <w:rPr>
          <w:rFonts w:hint="eastAsia" w:ascii="Microsoft JhengHei" w:eastAsia="Microsoft JhengHei"/>
          <w:b/>
          <w:sz w:val="28"/>
        </w:rPr>
      </w:pPr>
    </w:p>
    <w:p>
      <w:pPr>
        <w:spacing w:after="0" w:line="484" w:lineRule="exact"/>
        <w:jc w:val="center"/>
        <w:rPr>
          <w:rFonts w:hint="eastAsia" w:ascii="Microsoft JhengHei" w:eastAsia="Microsoft JhengHei"/>
          <w:sz w:val="28"/>
        </w:rPr>
      </w:pPr>
    </w:p>
    <w:p>
      <w:pPr>
        <w:pStyle w:val="2"/>
        <w:rPr>
          <w:rFonts w:hint="eastAsia"/>
        </w:rPr>
      </w:pPr>
    </w:p>
    <w:p>
      <w:pPr>
        <w:pStyle w:val="2"/>
        <w:rPr>
          <w:rFonts w:hint="eastAsia"/>
        </w:rPr>
        <w:sectPr>
          <w:pgSz w:w="11910" w:h="16840"/>
          <w:pgMar w:top="1440" w:right="860" w:bottom="280" w:left="1200" w:header="720" w:footer="720" w:gutter="0"/>
          <w:pgBorders>
            <w:top w:val="none" w:sz="0" w:space="0"/>
            <w:left w:val="none" w:sz="0" w:space="0"/>
            <w:bottom w:val="none" w:sz="0" w:space="0"/>
            <w:right w:val="none" w:sz="0" w:space="0"/>
          </w:pgBorders>
        </w:sectPr>
      </w:pPr>
      <w:r>
        <w:drawing>
          <wp:inline distT="0" distB="0" distL="114300" distR="114300">
            <wp:extent cx="5205730" cy="5761990"/>
            <wp:effectExtent l="0" t="0" r="13970"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05730" cy="5761990"/>
                    </a:xfrm>
                    <a:prstGeom prst="rect">
                      <a:avLst/>
                    </a:prstGeom>
                    <a:noFill/>
                    <a:ln>
                      <a:noFill/>
                    </a:ln>
                  </pic:spPr>
                </pic:pic>
              </a:graphicData>
            </a:graphic>
          </wp:inline>
        </w:drawing>
      </w:r>
    </w:p>
    <w:p>
      <w:pPr>
        <w:pStyle w:val="7"/>
        <w:ind w:left="100"/>
        <w:rPr>
          <w:rFonts w:ascii="Microsoft JhengHei"/>
          <w:sz w:val="20"/>
        </w:rPr>
      </w:pPr>
    </w:p>
    <w:p>
      <w:pPr>
        <w:tabs>
          <w:tab w:val="left" w:pos="769"/>
        </w:tabs>
        <w:spacing w:before="0" w:line="484" w:lineRule="exact"/>
        <w:ind w:left="0" w:right="55" w:firstLine="0"/>
        <w:jc w:val="center"/>
        <w:rPr>
          <w:rFonts w:hint="eastAsia" w:ascii="Microsoft JhengHei" w:eastAsia="Microsoft JhengHei"/>
          <w:b/>
          <w:sz w:val="28"/>
        </w:rPr>
      </w:pPr>
    </w:p>
    <w:p>
      <w:pPr>
        <w:tabs>
          <w:tab w:val="left" w:pos="769"/>
        </w:tabs>
        <w:spacing w:before="0" w:line="484" w:lineRule="exact"/>
        <w:ind w:left="0" w:right="55" w:firstLine="0"/>
        <w:jc w:val="center"/>
        <w:rPr>
          <w:rFonts w:hint="eastAsia"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3</w:t>
      </w:r>
      <w:r>
        <w:rPr>
          <w:rFonts w:hint="eastAsia" w:ascii="Microsoft JhengHei" w:eastAsia="Microsoft JhengHei"/>
          <w:b/>
          <w:sz w:val="28"/>
        </w:rPr>
        <w:tab/>
      </w:r>
      <w:r>
        <w:rPr>
          <w:rFonts w:hint="eastAsia" w:ascii="Microsoft JhengHei" w:eastAsia="Microsoft JhengHei"/>
          <w:b/>
          <w:sz w:val="28"/>
        </w:rPr>
        <w:t>生产厂区总平面布置图</w:t>
      </w:r>
    </w:p>
    <w:p>
      <w:pPr>
        <w:pStyle w:val="7"/>
        <w:spacing w:before="8"/>
        <w:rPr>
          <w:rFonts w:ascii="Microsoft JhengHei"/>
          <w:b/>
          <w:sz w:val="17"/>
        </w:rPr>
      </w:pPr>
    </w:p>
    <w:p>
      <w:pPr>
        <w:spacing w:before="0" w:line="417" w:lineRule="auto"/>
        <w:ind w:left="218" w:right="387" w:firstLine="0"/>
        <w:jc w:val="left"/>
        <w:rPr>
          <w:rFonts w:hint="eastAsia" w:ascii="仿宋" w:eastAsia="仿宋"/>
          <w:sz w:val="28"/>
        </w:rPr>
      </w:pPr>
      <w:r>
        <w:rPr>
          <w:rFonts w:hint="eastAsia" w:ascii="仿宋" w:eastAsia="仿宋"/>
          <w:sz w:val="28"/>
        </w:rPr>
        <w:t>（应包括主要工序、工房、设备位置关系，注明厂区雨水、污水收集和运输走向等内容）</w:t>
      </w:r>
    </w:p>
    <w:p>
      <w:pPr>
        <w:spacing w:after="0" w:line="417" w:lineRule="auto"/>
        <w:jc w:val="left"/>
        <w:rPr>
          <w:rFonts w:hint="eastAsia" w:ascii="仿宋" w:eastAsia="仿宋"/>
          <w:sz w:val="28"/>
          <w:lang w:eastAsia="zh-CN"/>
        </w:rPr>
      </w:pPr>
    </w:p>
    <w:p>
      <w:pPr>
        <w:pStyle w:val="2"/>
        <w:rPr>
          <w:rFonts w:hint="eastAsia"/>
          <w:lang w:eastAsia="zh-CN"/>
        </w:rPr>
      </w:pPr>
    </w:p>
    <w:p>
      <w:pPr>
        <w:pStyle w:val="2"/>
        <w:rPr>
          <w:rFonts w:hint="eastAsia"/>
          <w:lang w:eastAsia="zh-CN"/>
        </w:rPr>
        <w:sectPr>
          <w:pgSz w:w="11910" w:h="16840"/>
          <w:pgMar w:top="1420" w:right="860" w:bottom="280" w:left="1200" w:header="720" w:footer="720" w:gutter="0"/>
          <w:pgBorders>
            <w:top w:val="none" w:sz="0" w:space="0"/>
            <w:left w:val="none" w:sz="0" w:space="0"/>
            <w:bottom w:val="none" w:sz="0" w:space="0"/>
            <w:right w:val="none" w:sz="0" w:space="0"/>
          </w:pgBorders>
        </w:sectPr>
      </w:pPr>
      <w:r>
        <w:drawing>
          <wp:inline distT="0" distB="0" distL="114300" distR="114300">
            <wp:extent cx="5330190" cy="5899785"/>
            <wp:effectExtent l="0" t="0" r="3810" b="571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5"/>
                    <a:stretch>
                      <a:fillRect/>
                    </a:stretch>
                  </pic:blipFill>
                  <pic:spPr>
                    <a:xfrm>
                      <a:off x="0" y="0"/>
                      <a:ext cx="5330190" cy="5899785"/>
                    </a:xfrm>
                    <a:prstGeom prst="rect">
                      <a:avLst/>
                    </a:prstGeom>
                    <a:noFill/>
                    <a:ln>
                      <a:noFill/>
                    </a:ln>
                  </pic:spPr>
                </pic:pic>
              </a:graphicData>
            </a:graphic>
          </wp:inline>
        </w:drawing>
      </w:r>
    </w:p>
    <w:p>
      <w:pPr>
        <w:tabs>
          <w:tab w:val="left" w:pos="769"/>
        </w:tabs>
        <w:spacing w:before="0" w:line="484" w:lineRule="exact"/>
        <w:ind w:left="0" w:right="55" w:firstLine="0"/>
        <w:jc w:val="center"/>
        <w:rPr>
          <w:rFonts w:hint="eastAsia"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4</w:t>
      </w:r>
      <w:r>
        <w:rPr>
          <w:rFonts w:hint="eastAsia" w:ascii="Microsoft JhengHei" w:eastAsia="Microsoft JhengHei"/>
          <w:b/>
          <w:sz w:val="28"/>
        </w:rPr>
        <w:tab/>
      </w:r>
      <w:r>
        <w:rPr>
          <w:rFonts w:hint="eastAsia" w:ascii="Microsoft JhengHei" w:eastAsia="Microsoft JhengHei"/>
          <w:b/>
          <w:sz w:val="28"/>
        </w:rPr>
        <w:t>生产工艺流程图</w:t>
      </w:r>
    </w:p>
    <w:p>
      <w:pPr>
        <w:pStyle w:val="7"/>
        <w:spacing w:before="8"/>
        <w:rPr>
          <w:rFonts w:ascii="Microsoft JhengHei"/>
          <w:b/>
          <w:sz w:val="17"/>
        </w:rPr>
      </w:pPr>
    </w:p>
    <w:p>
      <w:pPr>
        <w:spacing w:before="0"/>
        <w:ind w:left="218" w:right="0" w:firstLine="0"/>
        <w:jc w:val="left"/>
        <w:rPr>
          <w:rFonts w:hint="eastAsia" w:ascii="仿宋" w:eastAsia="仿宋"/>
          <w:sz w:val="28"/>
        </w:rPr>
      </w:pPr>
      <w:r>
        <w:rPr>
          <w:rFonts w:hint="eastAsia" w:ascii="仿宋" w:eastAsia="仿宋"/>
          <w:sz w:val="28"/>
        </w:rPr>
        <w:t>（应包括主要生产设施（设备）、主要原燃料的流向、生产工艺流程等内容）</w:t>
      </w:r>
    </w:p>
    <w:p>
      <w:pPr>
        <w:pStyle w:val="7"/>
        <w:rPr>
          <w:sz w:val="20"/>
        </w:rPr>
      </w:pPr>
    </w:p>
    <w:p>
      <w:pPr>
        <w:pStyle w:val="7"/>
        <w:rPr>
          <w:sz w:val="20"/>
        </w:rPr>
      </w:pPr>
    </w:p>
    <w:p>
      <w:pPr>
        <w:pStyle w:val="7"/>
        <w:spacing w:before="10" w:after="1"/>
        <w:rPr>
          <w:sz w:val="15"/>
        </w:rPr>
      </w:pPr>
    </w:p>
    <w:p>
      <w:pPr>
        <w:spacing w:after="0"/>
        <w:rPr>
          <w:rFonts w:hint="eastAsia" w:ascii="Times New Roman" w:eastAsia="宋体"/>
          <w:sz w:val="22"/>
          <w:lang w:eastAsia="zh-CN"/>
        </w:rPr>
        <w:sectPr>
          <w:pgSz w:w="11910" w:h="16840"/>
          <w:pgMar w:top="1420" w:right="860" w:bottom="280" w:left="1200" w:header="720" w:footer="720" w:gutter="0"/>
          <w:pgBorders>
            <w:top w:val="none" w:sz="0" w:space="0"/>
            <w:left w:val="none" w:sz="0" w:space="0"/>
            <w:bottom w:val="none" w:sz="0" w:space="0"/>
            <w:right w:val="none" w:sz="0" w:space="0"/>
          </w:pgBorders>
        </w:sectPr>
      </w:pPr>
      <w:r>
        <w:rPr>
          <w:rFonts w:hint="eastAsia" w:ascii="Times New Roman" w:eastAsia="宋体"/>
          <w:sz w:val="22"/>
          <w:lang w:eastAsia="zh-CN"/>
        </w:rPr>
        <w:drawing>
          <wp:inline distT="0" distB="0" distL="114300" distR="114300">
            <wp:extent cx="6244590" cy="3008630"/>
            <wp:effectExtent l="0" t="0" r="3810" b="1270"/>
            <wp:docPr id="6" name="图片 6" descr="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工艺流程图"/>
                    <pic:cNvPicPr>
                      <a:picLocks noChangeAspect="1"/>
                    </pic:cNvPicPr>
                  </pic:nvPicPr>
                  <pic:blipFill>
                    <a:blip r:embed="rId6"/>
                    <a:stretch>
                      <a:fillRect/>
                    </a:stretch>
                  </pic:blipFill>
                  <pic:spPr>
                    <a:xfrm>
                      <a:off x="0" y="0"/>
                      <a:ext cx="6244590" cy="3008630"/>
                    </a:xfrm>
                    <a:prstGeom prst="rect">
                      <a:avLst/>
                    </a:prstGeom>
                  </pic:spPr>
                </pic:pic>
              </a:graphicData>
            </a:graphic>
          </wp:inline>
        </w:drawing>
      </w:r>
    </w:p>
    <w:p>
      <w:pPr>
        <w:pStyle w:val="7"/>
        <w:ind w:left="100"/>
        <w:rPr>
          <w:sz w:val="20"/>
        </w:rPr>
      </w:pPr>
    </w:p>
    <w:p>
      <w:pPr>
        <w:tabs>
          <w:tab w:val="left" w:pos="769"/>
        </w:tabs>
        <w:spacing w:before="0" w:line="484" w:lineRule="exact"/>
        <w:ind w:left="0" w:right="55" w:firstLine="0"/>
        <w:jc w:val="center"/>
        <w:rPr>
          <w:rFonts w:hint="eastAsia"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5</w:t>
      </w:r>
      <w:r>
        <w:rPr>
          <w:rFonts w:hint="eastAsia" w:ascii="Microsoft JhengHei" w:eastAsia="Microsoft JhengHei"/>
          <w:b/>
          <w:sz w:val="28"/>
        </w:rPr>
        <w:tab/>
      </w:r>
      <w:r>
        <w:rPr>
          <w:rFonts w:hint="eastAsia" w:ascii="Microsoft JhengHei" w:eastAsia="Microsoft JhengHei"/>
          <w:b/>
          <w:sz w:val="28"/>
        </w:rPr>
        <w:t>排污许可</w:t>
      </w:r>
    </w:p>
    <w:p>
      <w:pPr>
        <w:pStyle w:val="7"/>
        <w:rPr>
          <w:rFonts w:ascii="Microsoft JhengHei"/>
          <w:b/>
          <w:sz w:val="28"/>
        </w:rPr>
      </w:pPr>
    </w:p>
    <w:p>
      <w:pPr>
        <w:pStyle w:val="7"/>
        <w:rPr>
          <w:rFonts w:hint="eastAsia" w:ascii="Microsoft JhengHei" w:eastAsia="仿宋"/>
          <w:b/>
          <w:sz w:val="28"/>
          <w:lang w:eastAsia="zh-CN"/>
        </w:rPr>
      </w:pPr>
      <w:r>
        <w:rPr>
          <w:rFonts w:hint="eastAsia" w:ascii="Microsoft JhengHei" w:eastAsia="仿宋"/>
          <w:b/>
          <w:sz w:val="28"/>
          <w:lang w:eastAsia="zh-CN"/>
        </w:rPr>
        <w:drawing>
          <wp:inline distT="0" distB="0" distL="114300" distR="114300">
            <wp:extent cx="6242685" cy="4413885"/>
            <wp:effectExtent l="0" t="0" r="5715" b="5715"/>
            <wp:docPr id="1" name="图片 1" descr="石大工贸公司排污许可证_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石大工贸公司排污许可证_3_00"/>
                    <pic:cNvPicPr>
                      <a:picLocks noChangeAspect="1"/>
                    </pic:cNvPicPr>
                  </pic:nvPicPr>
                  <pic:blipFill>
                    <a:blip r:embed="rId7"/>
                    <a:stretch>
                      <a:fillRect/>
                    </a:stretch>
                  </pic:blipFill>
                  <pic:spPr>
                    <a:xfrm>
                      <a:off x="0" y="0"/>
                      <a:ext cx="6242685" cy="4413885"/>
                    </a:xfrm>
                    <a:prstGeom prst="rect">
                      <a:avLst/>
                    </a:prstGeom>
                  </pic:spPr>
                </pic:pic>
              </a:graphicData>
            </a:graphic>
          </wp:inline>
        </w:drawing>
      </w:r>
    </w:p>
    <w:p>
      <w:pPr>
        <w:pStyle w:val="7"/>
        <w:rPr>
          <w:rFonts w:ascii="Microsoft JhengHei"/>
          <w:b/>
          <w:sz w:val="28"/>
        </w:rPr>
      </w:pPr>
    </w:p>
    <w:p>
      <w:pPr>
        <w:pStyle w:val="7"/>
        <w:spacing w:before="6"/>
        <w:rPr>
          <w:rFonts w:ascii="Microsoft JhengHei"/>
          <w:b/>
          <w:sz w:val="21"/>
        </w:rPr>
      </w:pPr>
    </w:p>
    <w:p>
      <w:pPr>
        <w:tabs>
          <w:tab w:val="left" w:pos="769"/>
        </w:tabs>
        <w:spacing w:before="0"/>
        <w:ind w:left="0" w:right="55" w:firstLine="0"/>
        <w:jc w:val="center"/>
        <w:rPr>
          <w:rFonts w:hint="eastAsia"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6</w:t>
      </w:r>
      <w:r>
        <w:rPr>
          <w:rFonts w:hint="eastAsia" w:ascii="Microsoft JhengHei" w:eastAsia="Microsoft JhengHei"/>
          <w:b/>
          <w:sz w:val="28"/>
        </w:rPr>
        <w:tab/>
      </w:r>
      <w:r>
        <w:rPr>
          <w:rFonts w:hint="eastAsia" w:ascii="Microsoft JhengHei" w:eastAsia="Microsoft JhengHei"/>
          <w:b/>
          <w:sz w:val="28"/>
        </w:rPr>
        <w:t>环评批复文件</w:t>
      </w:r>
    </w:p>
    <w:p>
      <w:pPr>
        <w:pStyle w:val="7"/>
        <w:rPr>
          <w:rFonts w:ascii="Microsoft JhengHei"/>
          <w:b/>
          <w:sz w:val="8"/>
        </w:rPr>
      </w:pPr>
    </w:p>
    <w:tbl>
      <w:tblPr>
        <w:tblStyle w:val="8"/>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7948" w:type="dxa"/>
          </w:tcPr>
          <w:p>
            <w:pPr>
              <w:pStyle w:val="14"/>
              <w:spacing w:before="37" w:line="412" w:lineRule="exact"/>
              <w:ind w:left="88" w:right="78"/>
              <w:jc w:val="center"/>
              <w:rPr>
                <w:rFonts w:hint="eastAsia" w:ascii="Microsoft JhengHei" w:eastAsia="Microsoft JhengHei"/>
                <w:b/>
                <w:sz w:val="24"/>
              </w:rPr>
            </w:pPr>
            <w:r>
              <w:rPr>
                <w:rFonts w:hint="eastAsia" w:ascii="Microsoft JhengHei" w:eastAsia="Microsoft JhengHei"/>
                <w:b/>
                <w:sz w:val="24"/>
              </w:rPr>
              <w:t>环评批复文号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948" w:type="dxa"/>
            <w:vAlign w:val="center"/>
          </w:tcPr>
          <w:p>
            <w:pPr>
              <w:adjustRightInd w:val="0"/>
              <w:snapToGrid w:val="0"/>
              <w:spacing w:line="240" w:lineRule="auto"/>
              <w:ind w:left="0" w:leftChars="0" w:right="0" w:rightChars="0" w:firstLine="0" w:firstLineChars="0"/>
              <w:jc w:val="center"/>
              <w:rPr>
                <w:sz w:val="24"/>
              </w:rPr>
            </w:pPr>
            <w:r>
              <w:rPr>
                <w:snapToGrid w:val="0"/>
                <w:kern w:val="0"/>
                <w:sz w:val="18"/>
                <w:szCs w:val="18"/>
              </w:rPr>
              <w:t>201</w:t>
            </w:r>
            <w:r>
              <w:rPr>
                <w:rFonts w:hint="eastAsia"/>
                <w:snapToGrid w:val="0"/>
                <w:kern w:val="0"/>
                <w:sz w:val="18"/>
                <w:szCs w:val="18"/>
                <w:lang w:val="en-US" w:eastAsia="zh-CN"/>
              </w:rPr>
              <w:t>1.3.8，</w:t>
            </w:r>
            <w:r>
              <w:rPr>
                <w:snapToGrid w:val="0"/>
                <w:kern w:val="0"/>
                <w:sz w:val="18"/>
                <w:szCs w:val="18"/>
              </w:rPr>
              <w:t>东环审[201</w:t>
            </w:r>
            <w:r>
              <w:rPr>
                <w:rFonts w:hint="eastAsia"/>
                <w:snapToGrid w:val="0"/>
                <w:kern w:val="0"/>
                <w:sz w:val="18"/>
                <w:szCs w:val="18"/>
                <w:lang w:val="en-US" w:eastAsia="zh-CN"/>
              </w:rPr>
              <w:t>1</w:t>
            </w:r>
            <w:r>
              <w:rPr>
                <w:snapToGrid w:val="0"/>
                <w:kern w:val="0"/>
                <w:sz w:val="18"/>
                <w:szCs w:val="18"/>
              </w:rPr>
              <w:t>]</w:t>
            </w:r>
            <w:r>
              <w:rPr>
                <w:rFonts w:hint="eastAsia"/>
                <w:snapToGrid w:val="0"/>
                <w:kern w:val="0"/>
                <w:sz w:val="18"/>
                <w:szCs w:val="18"/>
                <w:lang w:val="en-US" w:eastAsia="zh-CN"/>
              </w:rPr>
              <w:t>30</w:t>
            </w:r>
            <w:r>
              <w:rPr>
                <w:snapToGrid w:val="0"/>
                <w:kern w:val="0"/>
                <w:sz w:val="18"/>
                <w:szCs w:val="18"/>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948" w:type="dxa"/>
            <w:vAlign w:val="center"/>
          </w:tcPr>
          <w:p>
            <w:pPr>
              <w:adjustRightInd w:val="0"/>
              <w:snapToGrid w:val="0"/>
              <w:spacing w:line="240" w:lineRule="auto"/>
              <w:ind w:left="0" w:leftChars="0" w:right="0" w:rightChars="0" w:firstLine="0" w:firstLineChars="0"/>
              <w:jc w:val="center"/>
              <w:rPr>
                <w:sz w:val="24"/>
              </w:rPr>
            </w:pPr>
            <w:r>
              <w:rPr>
                <w:snapToGrid w:val="0"/>
                <w:kern w:val="0"/>
                <w:sz w:val="18"/>
                <w:szCs w:val="18"/>
              </w:rPr>
              <w:t>201</w:t>
            </w:r>
            <w:r>
              <w:rPr>
                <w:rFonts w:hint="eastAsia"/>
                <w:snapToGrid w:val="0"/>
                <w:kern w:val="0"/>
                <w:sz w:val="18"/>
                <w:szCs w:val="18"/>
                <w:lang w:val="en-US" w:eastAsia="zh-CN"/>
              </w:rPr>
              <w:t>3</w:t>
            </w:r>
            <w:r>
              <w:rPr>
                <w:snapToGrid w:val="0"/>
                <w:kern w:val="0"/>
                <w:sz w:val="18"/>
                <w:szCs w:val="18"/>
              </w:rPr>
              <w:t>.</w:t>
            </w:r>
            <w:r>
              <w:rPr>
                <w:rFonts w:hint="eastAsia"/>
                <w:snapToGrid w:val="0"/>
                <w:kern w:val="0"/>
                <w:sz w:val="18"/>
                <w:szCs w:val="18"/>
                <w:lang w:val="en-US" w:eastAsia="zh-CN"/>
              </w:rPr>
              <w:t>7.23</w:t>
            </w:r>
            <w:r>
              <w:rPr>
                <w:snapToGrid w:val="0"/>
                <w:kern w:val="0"/>
                <w:sz w:val="18"/>
                <w:szCs w:val="18"/>
              </w:rPr>
              <w:t>，东环</w:t>
            </w:r>
            <w:r>
              <w:rPr>
                <w:rFonts w:hint="eastAsia"/>
                <w:snapToGrid w:val="0"/>
                <w:kern w:val="0"/>
                <w:sz w:val="18"/>
                <w:szCs w:val="18"/>
                <w:lang w:eastAsia="zh-CN"/>
              </w:rPr>
              <w:t>审</w:t>
            </w:r>
            <w:r>
              <w:rPr>
                <w:snapToGrid w:val="0"/>
                <w:kern w:val="0"/>
                <w:sz w:val="18"/>
                <w:szCs w:val="18"/>
              </w:rPr>
              <w:t>[201</w:t>
            </w:r>
            <w:r>
              <w:rPr>
                <w:rFonts w:hint="eastAsia"/>
                <w:snapToGrid w:val="0"/>
                <w:kern w:val="0"/>
                <w:sz w:val="18"/>
                <w:szCs w:val="18"/>
                <w:lang w:val="en-US" w:eastAsia="zh-CN"/>
              </w:rPr>
              <w:t>3</w:t>
            </w:r>
            <w:r>
              <w:rPr>
                <w:snapToGrid w:val="0"/>
                <w:kern w:val="0"/>
                <w:sz w:val="18"/>
                <w:szCs w:val="18"/>
              </w:rPr>
              <w:t>]</w:t>
            </w:r>
            <w:r>
              <w:rPr>
                <w:rFonts w:hint="eastAsia"/>
                <w:snapToGrid w:val="0"/>
                <w:kern w:val="0"/>
                <w:sz w:val="18"/>
                <w:szCs w:val="18"/>
                <w:lang w:val="en-US" w:eastAsia="zh-CN"/>
              </w:rPr>
              <w:t>85</w:t>
            </w:r>
            <w:r>
              <w:rPr>
                <w:snapToGrid w:val="0"/>
                <w:kern w:val="0"/>
                <w:sz w:val="18"/>
                <w:szCs w:val="18"/>
              </w:rPr>
              <w:t>号</w:t>
            </w:r>
          </w:p>
        </w:tc>
      </w:tr>
    </w:tbl>
    <w:p>
      <w:pPr>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r>
        <w:drawing>
          <wp:inline distT="0" distB="0" distL="114300" distR="114300">
            <wp:extent cx="5490210" cy="3863340"/>
            <wp:effectExtent l="0" t="0" r="15240" b="381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8"/>
                    <a:stretch>
                      <a:fillRect/>
                    </a:stretch>
                  </pic:blipFill>
                  <pic:spPr>
                    <a:xfrm>
                      <a:off x="0" y="0"/>
                      <a:ext cx="5490210" cy="3863340"/>
                    </a:xfrm>
                    <a:prstGeom prst="rect">
                      <a:avLst/>
                    </a:prstGeom>
                    <a:noFill/>
                    <a:ln>
                      <a:noFill/>
                    </a:ln>
                  </pic:spPr>
                </pic:pic>
              </a:graphicData>
            </a:graphic>
          </wp:inline>
        </w:drawing>
      </w:r>
    </w:p>
    <w:p>
      <w:r>
        <w:drawing>
          <wp:inline distT="0" distB="0" distL="114300" distR="114300">
            <wp:extent cx="5482590" cy="3875405"/>
            <wp:effectExtent l="0" t="0" r="3810" b="1079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9"/>
                    <a:stretch>
                      <a:fillRect/>
                    </a:stretch>
                  </pic:blipFill>
                  <pic:spPr>
                    <a:xfrm>
                      <a:off x="0" y="0"/>
                      <a:ext cx="5482590" cy="3875405"/>
                    </a:xfrm>
                    <a:prstGeom prst="rect">
                      <a:avLst/>
                    </a:prstGeom>
                    <a:noFill/>
                    <a:ln>
                      <a:noFill/>
                    </a:ln>
                  </pic:spPr>
                </pic:pic>
              </a:graphicData>
            </a:graphic>
          </wp:inline>
        </w:drawing>
      </w:r>
    </w:p>
    <w:p>
      <w:pPr>
        <w:pStyle w:val="2"/>
      </w:pPr>
    </w:p>
    <w:p>
      <w:pPr>
        <w:pStyle w:val="2"/>
        <w:rPr>
          <w:rFonts w:hint="eastAsia"/>
          <w:lang w:eastAsia="zh-CN"/>
        </w:rPr>
      </w:pPr>
    </w:p>
    <w:p>
      <w:r>
        <w:drawing>
          <wp:inline distT="0" distB="0" distL="114300" distR="114300">
            <wp:extent cx="5485765" cy="3846830"/>
            <wp:effectExtent l="0" t="0" r="635" b="127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0"/>
                    <a:stretch>
                      <a:fillRect/>
                    </a:stretch>
                  </pic:blipFill>
                  <pic:spPr>
                    <a:xfrm>
                      <a:off x="0" y="0"/>
                      <a:ext cx="5485765" cy="3846830"/>
                    </a:xfrm>
                    <a:prstGeom prst="rect">
                      <a:avLst/>
                    </a:prstGeom>
                    <a:noFill/>
                    <a:ln>
                      <a:noFill/>
                    </a:ln>
                  </pic:spPr>
                </pic:pic>
              </a:graphicData>
            </a:graphic>
          </wp:inline>
        </w:drawing>
      </w:r>
    </w:p>
    <w:p>
      <w:pPr>
        <w:pStyle w:val="2"/>
      </w:pPr>
      <w:r>
        <w:drawing>
          <wp:inline distT="0" distB="0" distL="114300" distR="114300">
            <wp:extent cx="5490210" cy="3874135"/>
            <wp:effectExtent l="0" t="0" r="15240" b="1206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1"/>
                    <a:stretch>
                      <a:fillRect/>
                    </a:stretch>
                  </pic:blipFill>
                  <pic:spPr>
                    <a:xfrm>
                      <a:off x="0" y="0"/>
                      <a:ext cx="5490210" cy="3874135"/>
                    </a:xfrm>
                    <a:prstGeom prst="rect">
                      <a:avLst/>
                    </a:prstGeom>
                    <a:noFill/>
                    <a:ln>
                      <a:noFill/>
                    </a:ln>
                  </pic:spPr>
                </pic:pic>
              </a:graphicData>
            </a:graphic>
          </wp:inline>
        </w:drawing>
      </w:r>
    </w:p>
    <w:p>
      <w:pPr>
        <w:pStyle w:val="2"/>
        <w:rPr>
          <w:rFonts w:hint="eastAsia"/>
          <w:lang w:eastAsia="zh-CN"/>
        </w:rPr>
      </w:pPr>
      <w:r>
        <w:drawing>
          <wp:inline distT="0" distB="0" distL="114300" distR="114300">
            <wp:extent cx="5486400" cy="3888740"/>
            <wp:effectExtent l="0" t="0" r="0" b="165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2"/>
                    <a:stretch>
                      <a:fillRect/>
                    </a:stretch>
                  </pic:blipFill>
                  <pic:spPr>
                    <a:xfrm>
                      <a:off x="0" y="0"/>
                      <a:ext cx="5486400" cy="3888740"/>
                    </a:xfrm>
                    <a:prstGeom prst="rect">
                      <a:avLst/>
                    </a:prstGeom>
                    <a:noFill/>
                    <a:ln>
                      <a:noFill/>
                    </a:ln>
                  </pic:spPr>
                </pic:pic>
              </a:graphicData>
            </a:graphic>
          </wp:inline>
        </w:drawing>
      </w:r>
    </w:p>
    <w:p>
      <w:pPr>
        <w:pStyle w:val="2"/>
        <w:rPr>
          <w:rFonts w:hint="eastAsia" w:eastAsia="宋体"/>
          <w:lang w:eastAsia="zh-CN"/>
        </w:rPr>
      </w:pPr>
    </w:p>
    <w:p>
      <w:pPr>
        <w:pStyle w:val="2"/>
        <w:rPr>
          <w:rFonts w:hint="eastAsia" w:eastAsia="宋体"/>
          <w:lang w:eastAsia="zh-CN"/>
        </w:rPr>
      </w:pPr>
    </w:p>
    <w:sectPr>
      <w:pgSz w:w="11910" w:h="16840"/>
      <w:pgMar w:top="1420" w:right="860" w:bottom="280" w:left="1200" w:header="720" w:footer="720" w:gutter="0"/>
      <w:pgBorders>
        <w:top w:val="none" w:sz="0" w:space="0"/>
        <w:left w:val="none" w:sz="0" w:space="0"/>
        <w:bottom w:val="none" w:sz="0" w:space="0"/>
        <w:right w:val="none" w:sz="0" w:space="0"/>
      </w:pgBorder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JhengHei">
    <w:panose1 w:val="020B0604030504040204"/>
    <w:charset w:val="88"/>
    <w:family w:val="swiss"/>
    <w:pitch w:val="default"/>
    <w:sig w:usb0="00000087" w:usb1="28AF4000" w:usb2="00000016" w:usb3="00000000" w:csb0="00100009" w:csb1="00000000"/>
  </w:font>
  <w:font w:name="仿宋">
    <w:panose1 w:val="02010609060101010101"/>
    <w:charset w:val="86"/>
    <w:family w:val="modern"/>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5870DF"/>
    <w:rsid w:val="02BD5162"/>
    <w:rsid w:val="03B019C5"/>
    <w:rsid w:val="04EC0372"/>
    <w:rsid w:val="05162315"/>
    <w:rsid w:val="05F90A4F"/>
    <w:rsid w:val="06A92668"/>
    <w:rsid w:val="080E584B"/>
    <w:rsid w:val="0CAE57E1"/>
    <w:rsid w:val="0FEE5EAD"/>
    <w:rsid w:val="14154002"/>
    <w:rsid w:val="151661C9"/>
    <w:rsid w:val="185D7DB9"/>
    <w:rsid w:val="18D65CAE"/>
    <w:rsid w:val="1C540C54"/>
    <w:rsid w:val="1CA00A34"/>
    <w:rsid w:val="1EAF7640"/>
    <w:rsid w:val="20EF6279"/>
    <w:rsid w:val="213768C9"/>
    <w:rsid w:val="21EE38AA"/>
    <w:rsid w:val="22960F4A"/>
    <w:rsid w:val="27002FC4"/>
    <w:rsid w:val="27390B05"/>
    <w:rsid w:val="287945BA"/>
    <w:rsid w:val="2BC76818"/>
    <w:rsid w:val="2C671E26"/>
    <w:rsid w:val="2CCB5577"/>
    <w:rsid w:val="2CE42275"/>
    <w:rsid w:val="2E7B29A8"/>
    <w:rsid w:val="2ED500D9"/>
    <w:rsid w:val="2EE156A6"/>
    <w:rsid w:val="313C0B50"/>
    <w:rsid w:val="33205C6F"/>
    <w:rsid w:val="33214D5E"/>
    <w:rsid w:val="33A803F0"/>
    <w:rsid w:val="35C60184"/>
    <w:rsid w:val="36A17000"/>
    <w:rsid w:val="37613479"/>
    <w:rsid w:val="3BF2665B"/>
    <w:rsid w:val="3E5E6878"/>
    <w:rsid w:val="3F6F1D2D"/>
    <w:rsid w:val="41325807"/>
    <w:rsid w:val="42307BDD"/>
    <w:rsid w:val="424F45E0"/>
    <w:rsid w:val="427A378A"/>
    <w:rsid w:val="44784F99"/>
    <w:rsid w:val="449A22DB"/>
    <w:rsid w:val="47C54353"/>
    <w:rsid w:val="488D6045"/>
    <w:rsid w:val="49D770D7"/>
    <w:rsid w:val="49F04C07"/>
    <w:rsid w:val="4BE300F2"/>
    <w:rsid w:val="4CA6610B"/>
    <w:rsid w:val="4E2977EF"/>
    <w:rsid w:val="4EB87A93"/>
    <w:rsid w:val="50EA61F1"/>
    <w:rsid w:val="5125653D"/>
    <w:rsid w:val="51524AAE"/>
    <w:rsid w:val="51B10D6E"/>
    <w:rsid w:val="523E0FF7"/>
    <w:rsid w:val="52BC50FB"/>
    <w:rsid w:val="542F1A86"/>
    <w:rsid w:val="54760EBD"/>
    <w:rsid w:val="55987CD1"/>
    <w:rsid w:val="56554E13"/>
    <w:rsid w:val="56996DA9"/>
    <w:rsid w:val="574132A8"/>
    <w:rsid w:val="580A73D6"/>
    <w:rsid w:val="5A365436"/>
    <w:rsid w:val="5A7B2E71"/>
    <w:rsid w:val="5B900FF0"/>
    <w:rsid w:val="5DE4727C"/>
    <w:rsid w:val="5FD42ED1"/>
    <w:rsid w:val="607464F2"/>
    <w:rsid w:val="63D861EF"/>
    <w:rsid w:val="660566D5"/>
    <w:rsid w:val="67224F30"/>
    <w:rsid w:val="68C927C6"/>
    <w:rsid w:val="69477A62"/>
    <w:rsid w:val="6BED29D3"/>
    <w:rsid w:val="6C3F68CA"/>
    <w:rsid w:val="6DC56CE2"/>
    <w:rsid w:val="70BA545D"/>
    <w:rsid w:val="75221699"/>
    <w:rsid w:val="7E2152E0"/>
    <w:rsid w:val="7F0743E4"/>
    <w:rsid w:val="7F40622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3">
    <w:name w:val="heading 1"/>
    <w:basedOn w:val="1"/>
    <w:next w:val="1"/>
    <w:qFormat/>
    <w:uiPriority w:val="1"/>
    <w:pPr>
      <w:spacing w:line="515" w:lineRule="exact"/>
      <w:ind w:left="698"/>
      <w:outlineLvl w:val="1"/>
    </w:pPr>
    <w:rPr>
      <w:rFonts w:ascii="Microsoft JhengHei" w:hAnsi="Microsoft JhengHei" w:eastAsia="Microsoft JhengHei" w:cs="Microsoft JhengHei"/>
      <w:b/>
      <w:bCs/>
      <w:sz w:val="32"/>
      <w:szCs w:val="32"/>
      <w:lang w:val="zh-CN" w:eastAsia="zh-CN" w:bidi="zh-CN"/>
    </w:rPr>
  </w:style>
  <w:style w:type="paragraph" w:styleId="4">
    <w:name w:val="heading 2"/>
    <w:basedOn w:val="1"/>
    <w:next w:val="1"/>
    <w:qFormat/>
    <w:uiPriority w:val="1"/>
    <w:pPr>
      <w:spacing w:before="106"/>
      <w:ind w:left="218" w:right="347" w:firstLine="640"/>
      <w:jc w:val="both"/>
      <w:outlineLvl w:val="2"/>
    </w:pPr>
    <w:rPr>
      <w:rFonts w:ascii="仿宋" w:hAnsi="仿宋" w:eastAsia="仿宋" w:cs="仿宋"/>
      <w:sz w:val="32"/>
      <w:szCs w:val="32"/>
      <w:lang w:val="zh-CN" w:eastAsia="zh-CN" w:bidi="zh-CN"/>
    </w:rPr>
  </w:style>
  <w:style w:type="paragraph" w:styleId="5">
    <w:name w:val="heading 3"/>
    <w:basedOn w:val="1"/>
    <w:next w:val="1"/>
    <w:qFormat/>
    <w:uiPriority w:val="1"/>
    <w:pPr>
      <w:spacing w:line="484" w:lineRule="exact"/>
      <w:ind w:right="55"/>
      <w:jc w:val="center"/>
      <w:outlineLvl w:val="3"/>
    </w:pPr>
    <w:rPr>
      <w:rFonts w:ascii="Microsoft JhengHei" w:hAnsi="Microsoft JhengHei" w:eastAsia="Microsoft JhengHei" w:cs="Microsoft JhengHei"/>
      <w:b/>
      <w:bCs/>
      <w:sz w:val="28"/>
      <w:szCs w:val="28"/>
      <w:lang w:val="zh-CN" w:eastAsia="zh-CN" w:bidi="zh-CN"/>
    </w:rPr>
  </w:style>
  <w:style w:type="character" w:default="1" w:styleId="10">
    <w:name w:val="Default Paragraph Font"/>
    <w:semiHidden/>
    <w:unhideWhenUsed/>
    <w:qFormat/>
    <w:uiPriority w:val="1"/>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6">
    <w:name w:val="annotation text"/>
    <w:basedOn w:val="1"/>
    <w:unhideWhenUsed/>
    <w:qFormat/>
    <w:uiPriority w:val="99"/>
  </w:style>
  <w:style w:type="paragraph" w:styleId="7">
    <w:name w:val="Body Text"/>
    <w:basedOn w:val="1"/>
    <w:qFormat/>
    <w:uiPriority w:val="1"/>
    <w:rPr>
      <w:rFonts w:ascii="仿宋" w:hAnsi="仿宋" w:eastAsia="仿宋" w:cs="仿宋"/>
      <w:sz w:val="24"/>
      <w:szCs w:val="24"/>
      <w:lang w:val="zh-CN" w:eastAsia="zh-CN" w:bidi="zh-CN"/>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unhideWhenUsed/>
    <w:qFormat/>
    <w:uiPriority w:val="99"/>
    <w:rPr>
      <w:color w:val="0000FF"/>
      <w:u w:val="single"/>
    </w:r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spacing w:before="4"/>
      <w:ind w:left="962" w:hanging="720"/>
    </w:pPr>
    <w:rPr>
      <w:rFonts w:ascii="仿宋" w:hAnsi="仿宋" w:eastAsia="仿宋" w:cs="仿宋"/>
      <w:lang w:val="zh-CN" w:eastAsia="zh-CN" w:bidi="zh-CN"/>
    </w:rPr>
  </w:style>
  <w:style w:type="paragraph" w:customStyle="1" w:styleId="14">
    <w:name w:val="Table Paragraph"/>
    <w:basedOn w:val="1"/>
    <w:qFormat/>
    <w:uiPriority w:val="1"/>
    <w:rPr>
      <w:rFonts w:ascii="宋体" w:hAnsi="宋体" w:eastAsia="宋体" w:cs="宋体"/>
      <w:lang w:val="zh-CN" w:eastAsia="zh-CN" w:bidi="zh-CN"/>
    </w:rPr>
  </w:style>
  <w:style w:type="character" w:customStyle="1" w:styleId="15">
    <w:name w:val="font61"/>
    <w:basedOn w:val="10"/>
    <w:qFormat/>
    <w:uiPriority w:val="0"/>
    <w:rPr>
      <w:rFonts w:hint="eastAsia" w:ascii="宋体" w:hAnsi="宋体" w:eastAsia="宋体" w:cs="宋体"/>
      <w:color w:val="000000"/>
      <w:sz w:val="24"/>
      <w:szCs w:val="24"/>
      <w:u w:val="none"/>
    </w:rPr>
  </w:style>
  <w:style w:type="character" w:customStyle="1" w:styleId="16">
    <w:name w:val="font11"/>
    <w:basedOn w:val="10"/>
    <w:qFormat/>
    <w:uiPriority w:val="0"/>
    <w:rPr>
      <w:rFonts w:hint="eastAsia" w:ascii="宋体" w:hAnsi="宋体" w:eastAsia="宋体" w:cs="宋体"/>
      <w:color w:val="000000"/>
      <w:sz w:val="24"/>
      <w:szCs w:val="24"/>
      <w:u w:val="none"/>
    </w:rPr>
  </w:style>
  <w:style w:type="character" w:customStyle="1" w:styleId="17">
    <w:name w:val="font21"/>
    <w:basedOn w:val="10"/>
    <w:qFormat/>
    <w:uiPriority w:val="0"/>
    <w:rPr>
      <w:rFonts w:hint="default" w:ascii="Times New Roman" w:hAnsi="Times New Roman" w:cs="Times New Roman"/>
      <w:color w:val="000000"/>
      <w:sz w:val="24"/>
      <w:szCs w:val="24"/>
      <w:u w:val="none"/>
    </w:rPr>
  </w:style>
  <w:style w:type="paragraph" w:customStyle="1" w:styleId="18">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
    <w:name w:val="Normal"/>
    <w:qFormat/>
    <w:uiPriority w:val="0"/>
    <w:pPr>
      <w:jc w:val="both"/>
    </w:pPr>
    <w:rPr>
      <w:rFonts w:ascii="MingLiU" w:hAnsi="MingLiU" w:eastAsia="宋体" w:cs="宋体"/>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2020-12-13T02:41:00Z</dcterms:created>
  <dc:creator>hbt</dc:creator>
  <cp:lastModifiedBy>木易</cp:lastModifiedBy>
  <dcterms:modified xsi:type="dcterms:W3CDTF">2021-01-21T00:49:32Z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2013-12-02T00:00:00Z</vt:filetime>
  </property>
  <property fmtid="{D5CDD505-2E9C-101B-9397-08002B2CF9AE}" pid="3" name="Creator">
    <vt:lpwstr>Microsoft Office Word</vt:lpwstr>
  </property>
  <property fmtid="{D5CDD505-2E9C-101B-9397-08002B2CF9AE}" pid="4" name="LastSaved">
    <vt:filetime>2020-12-13T00:00:00Z</vt:filetime>
  </property>
  <property fmtid="{D5CDD505-2E9C-101B-9397-08002B2CF9AE}" pid="5" name="KSOProductBuildVer">
    <vt:lpwstr>2052-11.1.0.10314</vt:lpwstr>
  </property>
</Properties>
</file>