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970" w:lineRule="exact"/>
        <w:ind w:left="1155" w:right="1155" w:firstLine="0"/>
        <w:jc w:val="center"/>
        <w:rPr>
          <w:rFonts w:hint="eastAsia" w:ascii="Microsoft JhengHei" w:eastAsia="Microsoft JhengHei"/>
          <w:b/>
          <w:sz w:val="64"/>
        </w:rPr>
      </w:pPr>
      <w:r>
        <w:rPr>
          <w:rFonts w:hint="eastAsia" w:ascii="Microsoft JhengHei" w:eastAsia="Microsoft JhengHei"/>
          <w:b/>
          <w:sz w:val="64"/>
        </w:rPr>
        <w:t>山东省</w:t>
      </w:r>
    </w:p>
    <w:p>
      <w:pPr>
        <w:spacing w:before="0" w:line="1056" w:lineRule="exact"/>
        <w:ind w:left="1155" w:right="1155" w:firstLine="0"/>
        <w:jc w:val="center"/>
        <w:rPr>
          <w:rFonts w:hint="eastAsia" w:ascii="Microsoft JhengHei" w:eastAsia="Microsoft JhengHei"/>
          <w:b/>
          <w:sz w:val="64"/>
        </w:rPr>
      </w:pPr>
      <w:r>
        <w:rPr>
          <w:rFonts w:hint="eastAsia" w:ascii="Microsoft JhengHei" w:eastAsia="Microsoft JhengHei"/>
          <w:b/>
          <w:sz w:val="64"/>
        </w:rPr>
        <w:t>排污单位自行监测方案</w:t>
      </w:r>
    </w:p>
    <w:p>
      <w:pPr>
        <w:pStyle w:val="7"/>
        <w:rPr>
          <w:rFonts w:ascii="Microsoft JhengHei"/>
          <w:b/>
          <w:sz w:val="64"/>
        </w:rPr>
      </w:pPr>
    </w:p>
    <w:p>
      <w:pPr>
        <w:pStyle w:val="7"/>
        <w:spacing w:before="5"/>
        <w:rPr>
          <w:rFonts w:ascii="Microsoft JhengHei"/>
          <w:b/>
          <w:sz w:val="72"/>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eastAsia="宋体"/>
          <w:spacing w:val="-19"/>
          <w:sz w:val="30"/>
          <w:lang w:eastAsia="zh-CN"/>
        </w:rPr>
      </w:pPr>
      <w:r>
        <w:rPr>
          <w:rFonts w:hint="eastAsia" w:ascii="Microsoft JhengHei" w:eastAsia="Microsoft JhengHei"/>
          <w:b/>
          <w:spacing w:val="-3"/>
          <w:sz w:val="30"/>
        </w:rPr>
        <w:t>企业名称：</w:t>
      </w:r>
      <w:r>
        <w:rPr>
          <w:rFonts w:hint="eastAsia" w:ascii="Microsoft JhengHei"/>
          <w:b/>
          <w:spacing w:val="-3"/>
          <w:sz w:val="30"/>
          <w:lang w:eastAsia="zh-CN"/>
        </w:rPr>
        <w:t>东营石大胜华新材料有限公司</w:t>
      </w: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19"/>
          <w:sz w:val="28"/>
          <w:szCs w:val="28"/>
          <w:lang w:eastAsia="zh-CN"/>
        </w:rPr>
      </w:pPr>
      <w:r>
        <w:rPr>
          <w:rFonts w:hint="eastAsia" w:ascii="Microsoft JhengHei" w:eastAsia="Microsoft JhengHei"/>
          <w:b/>
          <w:spacing w:val="-19"/>
          <w:sz w:val="30"/>
        </w:rPr>
        <w:t>监测单位：</w:t>
      </w:r>
      <w:r>
        <w:rPr>
          <w:rFonts w:hint="eastAsia" w:ascii="Microsoft JhengHei"/>
          <w:b w:val="0"/>
          <w:bCs/>
          <w:spacing w:val="-19"/>
          <w:sz w:val="28"/>
          <w:szCs w:val="28"/>
          <w:lang w:eastAsia="zh-CN"/>
        </w:rPr>
        <w:t>山东百斯特职业安全检测评价有限公司（例行监测）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60" w:firstLineChars="1200"/>
        <w:jc w:val="left"/>
        <w:textAlignment w:val="auto"/>
        <w:rPr>
          <w:rFonts w:hint="eastAsia" w:cs="宋体"/>
          <w:i w:val="0"/>
          <w:caps w:val="0"/>
          <w:color w:val="131313"/>
          <w:spacing w:val="0"/>
          <w:sz w:val="28"/>
          <w:szCs w:val="28"/>
          <w:u w:val="none"/>
          <w:shd w:val="clear" w:color="auto" w:fill="FFFFFF"/>
          <w:lang w:eastAsia="zh-CN"/>
        </w:rPr>
      </w:pPr>
      <w:r>
        <w:rPr>
          <w:rFonts w:hint="eastAsia" w:ascii="宋体" w:hAnsi="宋体" w:eastAsia="宋体" w:cs="宋体"/>
          <w:i w:val="0"/>
          <w:caps w:val="0"/>
          <w:color w:val="131313"/>
          <w:spacing w:val="0"/>
          <w:sz w:val="28"/>
          <w:szCs w:val="28"/>
          <w:u w:val="none"/>
          <w:shd w:val="clear" w:color="auto" w:fill="FFFFFF"/>
        </w:rPr>
        <w:t>北京首创大气环境科技股份有限公司</w:t>
      </w:r>
      <w:r>
        <w:rPr>
          <w:rFonts w:hint="eastAsia" w:cs="宋体"/>
          <w:i w:val="0"/>
          <w:caps w:val="0"/>
          <w:color w:val="131313"/>
          <w:spacing w:val="0"/>
          <w:sz w:val="28"/>
          <w:szCs w:val="28"/>
          <w:u w:val="none"/>
          <w:shd w:val="clear" w:color="auto" w:fill="FFFFFF"/>
          <w:lang w:eastAsia="zh-CN"/>
        </w:rPr>
        <w:t>（泄露监测）</w: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p>
    <w:p>
      <w:pPr>
        <w:spacing w:before="2"/>
        <w:ind w:left="2088" w:right="0" w:firstLine="0"/>
        <w:jc w:val="left"/>
        <w:rPr>
          <w:sz w:val="28"/>
        </w:rPr>
      </w:pPr>
      <w:r>
        <w:rPr>
          <w:rFonts w:hint="eastAsia" w:ascii="Microsoft JhengHei" w:eastAsia="Microsoft JhengHei"/>
          <w:b/>
          <w:sz w:val="30"/>
        </w:rPr>
        <w:t>备案日期：</w:t>
      </w:r>
      <w:r>
        <w:rPr>
          <w:sz w:val="28"/>
        </w:rPr>
        <w:t>202</w:t>
      </w:r>
      <w:r>
        <w:rPr>
          <w:rFonts w:hint="eastAsia"/>
          <w:sz w:val="28"/>
          <w:lang w:val="en-US" w:eastAsia="zh-CN"/>
        </w:rPr>
        <w:t>1</w:t>
      </w:r>
      <w:r>
        <w:rPr>
          <w:sz w:val="28"/>
        </w:rPr>
        <w:t xml:space="preserve"> 年  月 </w:t>
      </w:r>
      <w:r>
        <w:rPr>
          <w:rFonts w:hint="eastAsia"/>
          <w:sz w:val="28"/>
          <w:lang w:val="en-US" w:eastAsia="zh-CN"/>
        </w:rPr>
        <w:t xml:space="preserve">  </w:t>
      </w:r>
      <w:r>
        <w:rPr>
          <w:sz w:val="28"/>
        </w:rPr>
        <w:t xml:space="preserve"> 日</w:t>
      </w:r>
    </w:p>
    <w:p>
      <w:pPr>
        <w:spacing w:after="0"/>
        <w:jc w:val="left"/>
        <w:rPr>
          <w:sz w:val="28"/>
        </w:rPr>
        <w:sectPr>
          <w:type w:val="continuous"/>
          <w:pgSz w:w="11910" w:h="16840"/>
          <w:pgMar w:top="1580" w:right="460" w:bottom="280" w:left="460" w:header="720" w:footer="720" w:gutter="0"/>
          <w:pgBorders>
            <w:top w:val="none" w:sz="0" w:space="0"/>
            <w:left w:val="none" w:sz="0" w:space="0"/>
            <w:bottom w:val="none" w:sz="0" w:space="0"/>
            <w:right w:val="none" w:sz="0" w:space="0"/>
          </w:pgBorders>
        </w:sectPr>
      </w:pPr>
    </w:p>
    <w:p>
      <w:pPr>
        <w:spacing w:before="0" w:line="561" w:lineRule="exact"/>
        <w:ind w:left="1155" w:right="1155" w:firstLine="0"/>
        <w:jc w:val="center"/>
        <w:rPr>
          <w:rFonts w:hint="eastAsia" w:ascii="Microsoft JhengHei" w:eastAsia="Microsoft JhengHei"/>
          <w:b/>
          <w:sz w:val="36"/>
        </w:rPr>
      </w:pPr>
      <w:r>
        <w:rPr>
          <w:rFonts w:hint="eastAsia" w:ascii="Microsoft JhengHei"/>
          <w:b/>
          <w:sz w:val="36"/>
          <w:lang w:eastAsia="zh-CN"/>
        </w:rPr>
        <w:t>东营石大胜华新材料</w:t>
      </w:r>
      <w:r>
        <w:rPr>
          <w:rFonts w:hint="eastAsia" w:ascii="Microsoft JhengHei" w:eastAsia="Microsoft JhengHei"/>
          <w:b/>
          <w:sz w:val="36"/>
        </w:rPr>
        <w:t>有限公司自行监测方案</w:t>
      </w:r>
    </w:p>
    <w:p>
      <w:pPr>
        <w:pStyle w:val="4"/>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after="0" w:line="350" w:lineRule="auto"/>
        <w:sectPr>
          <w:pgSz w:w="11910" w:h="16840"/>
          <w:pgMar w:top="1520" w:right="460" w:bottom="280" w:left="460" w:header="720" w:footer="720" w:gutter="0"/>
          <w:pgBorders>
            <w:top w:val="none" w:sz="0" w:space="0"/>
            <w:left w:val="none" w:sz="0" w:space="0"/>
            <w:bottom w:val="none" w:sz="0" w:space="0"/>
            <w:right w:val="none" w:sz="0" w:space="0"/>
          </w:pgBorders>
        </w:sectPr>
      </w:pPr>
    </w:p>
    <w:p>
      <w:pPr>
        <w:spacing w:before="0" w:line="538" w:lineRule="exact"/>
        <w:ind w:left="1771" w:right="0" w:firstLine="0"/>
        <w:jc w:val="left"/>
        <w:rPr>
          <w:rFonts w:hint="eastAsia" w:ascii="Microsoft JhengHei" w:eastAsia="Microsoft JhengHei"/>
          <w:b/>
          <w:sz w:val="32"/>
        </w:rPr>
      </w:pPr>
      <w:r>
        <w:rPr>
          <w:rFonts w:hint="eastAsia" w:ascii="Microsoft JhengHei" w:eastAsia="Microsoft JhengHei"/>
          <w:b/>
          <w:sz w:val="32"/>
        </w:rPr>
        <w:t>一、 基本情况</w:t>
      </w:r>
      <w:bookmarkStart w:id="1" w:name="_GoBack"/>
      <w:bookmarkEnd w:id="1"/>
    </w:p>
    <w:p>
      <w:pPr>
        <w:pStyle w:val="7"/>
        <w:spacing w:before="15"/>
        <w:rPr>
          <w:rFonts w:ascii="Microsoft JhengHei"/>
          <w:b/>
          <w:sz w:val="26"/>
        </w:rPr>
      </w:pP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863"/>
        <w:gridCol w:w="967"/>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4"/>
              <w:spacing w:before="35" w:line="310" w:lineRule="atLeast"/>
              <w:ind w:left="115" w:right="402"/>
              <w:rPr>
                <w:rFonts w:hint="eastAsia" w:ascii="仿宋" w:eastAsia="仿宋"/>
                <w:sz w:val="24"/>
                <w:lang w:val="en-US" w:eastAsia="zh-CN"/>
              </w:rPr>
            </w:pPr>
            <w:r>
              <w:rPr>
                <w:rFonts w:hint="eastAsia" w:ascii="仿宋" w:eastAsia="仿宋"/>
                <w:sz w:val="24"/>
                <w:lang w:val="en-US" w:eastAsia="zh-CN"/>
              </w:rPr>
              <w:t>东营石大胜华新材料有限公司</w:t>
            </w:r>
          </w:p>
        </w:tc>
        <w:tc>
          <w:tcPr>
            <w:tcW w:w="1830" w:type="dxa"/>
            <w:gridSpan w:val="2"/>
            <w:tcBorders>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4"/>
              <w:spacing w:before="194"/>
              <w:ind w:left="115"/>
              <w:rPr>
                <w:rFonts w:hint="eastAsia" w:ascii="仿宋" w:eastAsia="仿宋"/>
                <w:sz w:val="24"/>
                <w:lang w:eastAsia="zh-CN"/>
              </w:rPr>
            </w:pPr>
            <w:r>
              <w:rPr>
                <w:rFonts w:hint="eastAsia" w:ascii="仿宋" w:eastAsia="仿宋"/>
                <w:sz w:val="24"/>
                <w:lang w:eastAsia="zh-CN"/>
              </w:rPr>
              <w:t>有机化学原料制造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4"/>
              <w:spacing w:before="134"/>
              <w:ind w:left="115"/>
              <w:rPr>
                <w:rFonts w:hint="eastAsia" w:ascii="仿宋" w:eastAsia="仿宋"/>
                <w:sz w:val="24"/>
              </w:rPr>
            </w:pPr>
            <w:r>
              <w:rPr>
                <w:rFonts w:hint="eastAsia" w:ascii="仿宋" w:eastAsia="仿宋"/>
                <w:sz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4"/>
              <w:spacing w:before="165"/>
              <w:ind w:left="108"/>
              <w:jc w:val="left"/>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both"/>
              <w:rPr>
                <w:rFonts w:ascii="Times New Roman"/>
                <w:sz w:val="24"/>
              </w:rPr>
            </w:pPr>
            <w:r>
              <w:rPr>
                <w:rFonts w:hint="default" w:ascii="Times New Roman" w:hAnsi="Times New Roman" w:eastAsia="仿宋_GB2312" w:cs="Times New Roman"/>
                <w:color w:val="000000"/>
                <w:kern w:val="0"/>
                <w:sz w:val="24"/>
                <w:szCs w:val="24"/>
                <w:lang w:val="en-US" w:eastAsia="zh-CN"/>
              </w:rPr>
              <w:t>91370500681741161G</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4"/>
              <w:spacing w:before="165"/>
              <w:rPr>
                <w:rFonts w:ascii="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lang w:eastAsia="zh-CN"/>
              </w:rPr>
              <w:t>小</w:t>
            </w:r>
            <w:r>
              <w:rPr>
                <w:rFonts w:hint="eastAsia" w:ascii="仿宋" w:eastAsia="仿宋"/>
                <w:sz w:val="24"/>
              </w:rPr>
              <w:t>型</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4"/>
              <w:spacing w:before="35" w:line="310" w:lineRule="atLeast"/>
              <w:ind w:left="115" w:right="369"/>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34"/>
              <w:ind w:left="115"/>
              <w:rPr>
                <w:rFonts w:ascii="仿宋" w:hAnsi="仿宋"/>
                <w:sz w:val="24"/>
              </w:rPr>
            </w:pPr>
            <w:r>
              <w:rPr>
                <w:rFonts w:ascii="仿宋" w:hAnsi="仿宋"/>
                <w:sz w:val="24"/>
              </w:rPr>
              <w:t>E 118°41'</w:t>
            </w:r>
            <w:r>
              <w:rPr>
                <w:rFonts w:hint="eastAsia" w:ascii="仿宋" w:hAnsi="仿宋"/>
                <w:sz w:val="24"/>
                <w:lang w:val="en-US" w:eastAsia="zh-CN"/>
              </w:rPr>
              <w:t>24</w:t>
            </w:r>
            <w:r>
              <w:rPr>
                <w:rFonts w:ascii="仿宋" w:hAnsi="仿宋"/>
                <w:sz w:val="24"/>
              </w:rPr>
              <w:t>.</w:t>
            </w:r>
            <w:r>
              <w:rPr>
                <w:rFonts w:hint="eastAsia" w:ascii="仿宋" w:hAnsi="仿宋"/>
                <w:sz w:val="24"/>
                <w:lang w:val="en-US" w:eastAsia="zh-CN"/>
              </w:rPr>
              <w:t>00</w:t>
            </w:r>
            <w:r>
              <w:rPr>
                <w:rFonts w:ascii="仿宋" w:hAnsi="仿宋"/>
                <w:sz w:val="24"/>
              </w:rPr>
              <w:t>"</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4"/>
              <w:spacing w:before="134"/>
              <w:ind w:left="115"/>
              <w:rPr>
                <w:rFonts w:ascii="仿宋" w:hAnsi="仿宋"/>
                <w:sz w:val="24"/>
              </w:rPr>
            </w:pPr>
            <w:r>
              <w:rPr>
                <w:rFonts w:ascii="仿宋" w:hAnsi="仿宋"/>
                <w:sz w:val="24"/>
              </w:rPr>
              <w:t>N 37°3</w:t>
            </w:r>
            <w:r>
              <w:rPr>
                <w:rFonts w:hint="eastAsia" w:ascii="仿宋" w:hAnsi="仿宋"/>
                <w:sz w:val="24"/>
                <w:lang w:val="en-US" w:eastAsia="zh-CN"/>
              </w:rPr>
              <w:t>0</w:t>
            </w:r>
            <w:r>
              <w:rPr>
                <w:rFonts w:ascii="仿宋" w:hAnsi="仿宋"/>
                <w:sz w:val="24"/>
              </w:rPr>
              <w:t>'</w:t>
            </w:r>
            <w:r>
              <w:rPr>
                <w:rFonts w:hint="eastAsia" w:ascii="仿宋" w:hAnsi="仿宋"/>
                <w:sz w:val="24"/>
                <w:lang w:val="en-US" w:eastAsia="zh-CN"/>
              </w:rPr>
              <w:t>36.00</w:t>
            </w:r>
            <w:r>
              <w:rPr>
                <w:rFonts w:ascii="仿宋" w:hAnsi="仿宋"/>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东营市垦利县永安镇市北外环路以南</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
              <w:rPr>
                <w:rFonts w:ascii="Microsoft JhengHei"/>
                <w:b/>
                <w:sz w:val="12"/>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keepNext w:val="0"/>
              <w:keepLines w:val="0"/>
              <w:widowControl/>
              <w:suppressLineNumbers w:val="0"/>
              <w:jc w:val="left"/>
              <w:rPr>
                <w:rFonts w:hint="eastAsia" w:ascii="仿宋" w:eastAsia="仿宋"/>
                <w:sz w:val="24"/>
              </w:rPr>
            </w:pPr>
            <w:r>
              <w:rPr>
                <w:rFonts w:hint="eastAsia" w:ascii="仿宋_GB2312" w:hAnsi="仿宋_GB2312" w:eastAsia="仿宋_GB2312"/>
                <w:color w:val="000000"/>
                <w:kern w:val="0"/>
                <w:sz w:val="24"/>
                <w:szCs w:val="24"/>
                <w:lang w:val="en-US" w:eastAsia="zh-CN"/>
              </w:rPr>
              <w:t>东营市垦利县永安镇市北外环路以南</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6"/>
              <w:rPr>
                <w:rFonts w:ascii="Microsoft JhengHei"/>
                <w:b/>
                <w:sz w:val="11"/>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4"/>
              <w:spacing w:before="162"/>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lang w:eastAsia="zh-CN"/>
              </w:rPr>
            </w:pPr>
            <w:r>
              <w:rPr>
                <w:rFonts w:hint="eastAsia" w:ascii="仿宋" w:eastAsia="仿宋"/>
                <w:sz w:val="24"/>
                <w:lang w:eastAsia="zh-CN"/>
              </w:rPr>
              <w:t>贾风雷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有限公司</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lang w:eastAsia="zh-CN"/>
              </w:rPr>
            </w:pPr>
            <w:r>
              <w:rPr>
                <w:rFonts w:hint="eastAsia" w:ascii="仿宋" w:eastAsia="仿宋"/>
                <w:sz w:val="24"/>
                <w:lang w:eastAsia="zh-CN"/>
              </w:rPr>
              <w:t>山东石大胜华化工集团股份有限公司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rPr>
                <w:rFonts w:ascii="仿宋"/>
                <w:sz w:val="24"/>
              </w:rPr>
              <w:t>20</w:t>
            </w:r>
            <w:r>
              <w:rPr>
                <w:rFonts w:hint="eastAsia" w:ascii="仿宋"/>
                <w:sz w:val="24"/>
                <w:lang w:val="en-US" w:eastAsia="zh-CN"/>
              </w:rPr>
              <w:t>09</w:t>
            </w:r>
            <w:r>
              <w:rPr>
                <w:rFonts w:ascii="仿宋"/>
                <w:sz w:val="24"/>
              </w:rPr>
              <w:t>-06</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lang w:eastAsia="zh-CN"/>
              </w:rPr>
              <w:t>排污</w:t>
            </w: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vAlign w:val="center"/>
          </w:tcPr>
          <w:p>
            <w:pPr>
              <w:pStyle w:val="14"/>
              <w:jc w:val="both"/>
              <w:rPr>
                <w:rFonts w:hint="default" w:ascii="Times New Roman" w:eastAsia="宋体"/>
                <w:sz w:val="24"/>
                <w:lang w:val="en-US" w:eastAsia="zh-CN"/>
              </w:rPr>
            </w:pPr>
            <w:r>
              <w:rPr>
                <w:rFonts w:hint="default" w:ascii="Times New Roman" w:hAnsi="Times New Roman" w:eastAsia="仿宋_GB2312" w:cs="Times New Roman"/>
                <w:color w:val="000000"/>
                <w:kern w:val="0"/>
                <w:sz w:val="24"/>
                <w:szCs w:val="24"/>
                <w:lang w:val="en-US" w:eastAsia="zh-CN"/>
              </w:rPr>
              <w:t>91370500681741161G</w:t>
            </w:r>
            <w:r>
              <w:rPr>
                <w:rFonts w:hint="eastAsia" w:ascii="Times New Roman" w:hAnsi="Times New Roman" w:eastAsia="仿宋_GB2312" w:cs="Times New Roman"/>
                <w:color w:val="000000"/>
                <w:kern w:val="0"/>
                <w:sz w:val="24"/>
                <w:szCs w:val="24"/>
                <w:lang w:val="en-US" w:eastAsia="zh-CN"/>
              </w:rPr>
              <w:t>001P</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lang w:eastAsia="zh-CN"/>
              </w:rPr>
              <w:t>排污</w:t>
            </w: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2020.07.14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11"/>
              <w:rPr>
                <w:rFonts w:ascii="Microsoft JhengHei"/>
                <w:b/>
                <w:sz w:val="19"/>
              </w:rPr>
            </w:pPr>
          </w:p>
          <w:p>
            <w:pPr>
              <w:pStyle w:val="14"/>
              <w:ind w:left="108"/>
              <w:rPr>
                <w:rFonts w:hint="eastAsia" w:ascii="仿宋" w:eastAsia="仿宋"/>
                <w:sz w:val="24"/>
              </w:rPr>
            </w:pPr>
            <w:r>
              <w:rPr>
                <w:rFonts w:hint="eastAsia" w:ascii="仿宋" w:eastAsia="仿宋"/>
                <w:sz w:val="24"/>
              </w:rPr>
              <w:t>控制级别</w:t>
            </w:r>
          </w:p>
        </w:tc>
        <w:tc>
          <w:tcPr>
            <w:tcW w:w="4278" w:type="dxa"/>
            <w:gridSpan w:val="2"/>
            <w:tcBorders>
              <w:top w:val="single" w:color="000000" w:sz="6" w:space="0"/>
              <w:left w:val="single" w:color="000000" w:sz="6" w:space="0"/>
              <w:bottom w:val="single" w:color="000000" w:sz="6" w:space="0"/>
              <w:right w:val="nil"/>
            </w:tcBorders>
          </w:tcPr>
          <w:p>
            <w:pPr>
              <w:pStyle w:val="14"/>
              <w:spacing w:before="154"/>
              <w:ind w:left="64"/>
              <w:rPr>
                <w:sz w:val="24"/>
              </w:rPr>
            </w:pPr>
            <w:r>
              <w:rPr>
                <w:rFonts w:hint="eastAsia" w:ascii="仿宋" w:hAnsi="仿宋" w:eastAsia="仿宋"/>
                <w:sz w:val="24"/>
              </w:rPr>
              <w:t>废气:</w:t>
            </w:r>
            <w:r>
              <w:rPr>
                <w:rFonts w:ascii="Wingdings 2" w:hAnsi="Wingdings 2" w:eastAsia="Wingdings 2"/>
                <w:sz w:val="24"/>
              </w:rPr>
              <w:t></w:t>
            </w:r>
            <w:r>
              <w:rPr>
                <w:sz w:val="24"/>
              </w:rPr>
              <w:t>国控</w:t>
            </w:r>
            <w:r>
              <w:rPr>
                <w:rFonts w:ascii="Wingdings 2" w:hAnsi="Wingdings 2" w:eastAsia="Wingdings 2"/>
                <w:sz w:val="24"/>
              </w:rPr>
              <w:t></w:t>
            </w:r>
            <w:r>
              <w:rPr>
                <w:sz w:val="24"/>
              </w:rPr>
              <w:t xml:space="preserve">省控 </w:t>
            </w:r>
            <w:r>
              <w:rPr>
                <w:rFonts w:ascii="Wingdings 2" w:hAnsi="Wingdings 2" w:eastAsia="Wingdings 2"/>
                <w:sz w:val="24"/>
              </w:rPr>
              <w:t></w:t>
            </w:r>
            <w:r>
              <w:rPr>
                <w:rFonts w:ascii="Times New Roman" w:hAnsi="Times New Roman" w:eastAsia="Times New Roman"/>
                <w:sz w:val="24"/>
              </w:rPr>
              <w:t xml:space="preserve"> </w:t>
            </w:r>
            <w:r>
              <w:rPr>
                <w:sz w:val="24"/>
              </w:rPr>
              <w:t>市控</w:t>
            </w:r>
            <w:r>
              <w:rPr>
                <w:rFonts w:ascii="Wingdings 2" w:hAnsi="Wingdings 2" w:eastAsia="Wingdings 2"/>
                <w:sz w:val="24"/>
              </w:rPr>
              <w:t></w:t>
            </w:r>
            <w:r>
              <w:rPr>
                <w:sz w:val="24"/>
              </w:rPr>
              <w:t>其它</w:t>
            </w:r>
          </w:p>
        </w:tc>
        <w:tc>
          <w:tcPr>
            <w:tcW w:w="4595" w:type="dxa"/>
            <w:gridSpan w:val="2"/>
            <w:tcBorders>
              <w:top w:val="single" w:color="000000" w:sz="6" w:space="0"/>
              <w:left w:val="nil"/>
              <w:bottom w:val="single" w:color="000000" w:sz="6" w:space="0"/>
            </w:tcBorders>
          </w:tcPr>
          <w:p>
            <w:pPr>
              <w:pStyle w:val="14"/>
              <w:spacing w:before="154"/>
              <w:ind w:left="158"/>
              <w:rPr>
                <w:sz w:val="24"/>
              </w:rPr>
            </w:pPr>
            <w:r>
              <w:rPr>
                <w:rFonts w:hint="eastAsia" w:ascii="仿宋" w:hAnsi="仿宋" w:eastAsia="仿宋"/>
                <w:sz w:val="24"/>
              </w:rPr>
              <w:t>废水:</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市控</w:t>
            </w:r>
            <w:r>
              <w:rPr>
                <w:rFonts w:ascii="Wingdings 2" w:hAnsi="Wingdings 2" w:eastAsia="Wingdings 2"/>
                <w:sz w:val="24"/>
              </w:rPr>
              <w:sym w:font="Wingdings 2" w:char="00A3"/>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污水处理厂:</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重金属企业: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危废企业: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畜牧化养殖:</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王暖鹏</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8"/>
              <w:rPr>
                <w:rFonts w:ascii="Microsoft JhengHei"/>
                <w:b/>
                <w:sz w:val="20"/>
              </w:rPr>
            </w:pPr>
          </w:p>
          <w:p>
            <w:pPr>
              <w:pStyle w:val="14"/>
              <w:ind w:left="108"/>
              <w:rPr>
                <w:rFonts w:hint="eastAsia" w:ascii="仿宋" w:eastAsia="仿宋"/>
                <w:sz w:val="24"/>
              </w:rPr>
            </w:pPr>
            <w:r>
              <w:rPr>
                <w:rFonts w:hint="eastAsia" w:ascii="仿宋" w:eastAsia="仿宋"/>
                <w:sz w:val="24"/>
              </w:rPr>
              <w:t>企业生产情况</w:t>
            </w:r>
          </w:p>
        </w:tc>
        <w:tc>
          <w:tcPr>
            <w:tcW w:w="8873" w:type="dxa"/>
            <w:gridSpan w:val="4"/>
            <w:tcBorders>
              <w:top w:val="single" w:color="000000" w:sz="6" w:space="0"/>
              <w:left w:val="single" w:color="000000" w:sz="6" w:space="0"/>
              <w:bottom w:val="single" w:color="000000" w:sz="6" w:space="0"/>
            </w:tcBorders>
          </w:tcPr>
          <w:p>
            <w:pPr>
              <w:spacing w:line="360" w:lineRule="auto"/>
              <w:ind w:firstLine="480" w:firstLineChars="200"/>
              <w:jc w:val="left"/>
              <w:rPr>
                <w:rFonts w:hint="eastAsia" w:ascii="仿宋" w:eastAsia="仿宋"/>
                <w:sz w:val="24"/>
              </w:rPr>
            </w:pPr>
            <w:r>
              <w:rPr>
                <w:rFonts w:hint="eastAsia" w:ascii="仿宋" w:hAnsi="宋体" w:eastAsia="仿宋" w:cs="宋体"/>
                <w:sz w:val="24"/>
                <w:szCs w:val="22"/>
                <w:lang w:val="zh-CN" w:eastAsia="zh-CN" w:bidi="zh-CN"/>
              </w:rPr>
              <w:t>石大胜华新材料有限公司是教育部直属重点大学——中国石油大学(华东)的校办企业，是一家港澳台合资企业。公司坐落于黄河入海口的山东省东营市，是以生物化工及基本有机化工产品的生产、销售为主的高新技术企业。依托中国石油大学(华东)优秀的学术、科研和人才资源优势，积极进行技术创新，推进公司蓬勃发展。公司成立于2008年，占地200余亩，注册资本为3000万元。建有1万吨/年碳酸甲乙酯项目、2万吨/年锂离子电池电解液溶剂项目及2万吨/年动力锂电池溶剂项目。碳酸二乙酯、碳酸甲乙酯产能位居世界同类产品之首。各项目采用世界先进的工艺技术，主体部分均为不锈钢材质，采用DCS自动化控制系统，生产过程绿色环保。依托中国石油大学(华东)的人才资源优势，公司员工大专以上学历占90%以上，优良的员工队伍为生产优质的产品提供了坚强的人才保证。公司以市场为导向，以严格的质量控制为承诺，以优良快速的服务为立足点，成为世界上优秀的碳酸二乙酯、碳酸甲乙酯供应商。所有项目均严格按照《中华人民共和国环境保护法》、《建设项目环境保护管理办法》及“三同时”制度的要求，具备相关环评及验收手续，目前各装置均正常生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bottom w:val="single" w:color="000000" w:sz="6" w:space="0"/>
              <w:right w:val="single" w:color="000000" w:sz="6" w:space="0"/>
            </w:tcBorders>
          </w:tcPr>
          <w:p>
            <w:pPr>
              <w:pStyle w:val="7"/>
              <w:spacing w:before="1" w:line="242" w:lineRule="auto"/>
              <w:ind w:left="242" w:right="38"/>
            </w:pPr>
            <w:r>
              <w:t>企业污染治理情况</w:t>
            </w:r>
          </w:p>
          <w:p>
            <w:pPr>
              <w:pStyle w:val="14"/>
              <w:ind w:left="108"/>
              <w:rPr>
                <w:rFonts w:hint="eastAsia" w:ascii="仿宋" w:eastAsia="仿宋"/>
                <w:sz w:val="24"/>
              </w:rPr>
            </w:pPr>
          </w:p>
        </w:tc>
        <w:tc>
          <w:tcPr>
            <w:tcW w:w="8873" w:type="dxa"/>
            <w:gridSpan w:val="4"/>
            <w:tcBorders>
              <w:top w:val="single" w:color="000000" w:sz="6" w:space="0"/>
              <w:left w:val="single" w:color="000000" w:sz="6" w:space="0"/>
              <w:bottom w:val="single" w:color="000000" w:sz="6" w:space="0"/>
            </w:tcBorders>
          </w:tcPr>
          <w:p>
            <w:pPr>
              <w:spacing w:line="360" w:lineRule="auto"/>
              <w:ind w:firstLine="480" w:firstLineChars="200"/>
              <w:jc w:val="left"/>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我公司产生的生活废水、初期雨水、冲洗废水、机泵冷却水及工艺废水首先经沉淀后，通过泵提升至污水调节罐后再送入东营博川水务环保有限公司进行处理。雨水排口依托山东石大胜华化工集团股份有限公司垦利分公司雨水排口。</w:t>
            </w:r>
          </w:p>
          <w:p>
            <w:pPr>
              <w:spacing w:line="360" w:lineRule="auto"/>
              <w:ind w:firstLine="464" w:firstLineChars="200"/>
              <w:jc w:val="left"/>
              <w:rPr>
                <w:rFonts w:hint="eastAsia" w:ascii="仿宋" w:hAnsi="仿宋" w:eastAsia="仿宋" w:cs="仿宋"/>
                <w:spacing w:val="-4"/>
                <w:sz w:val="24"/>
                <w:szCs w:val="24"/>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845" w:type="dxa"/>
            <w:tcBorders>
              <w:top w:val="single" w:color="000000" w:sz="6" w:space="0"/>
              <w:right w:val="single" w:color="000000" w:sz="6" w:space="0"/>
            </w:tcBorders>
          </w:tcPr>
          <w:p>
            <w:pPr>
              <w:pStyle w:val="14"/>
              <w:ind w:left="108"/>
              <w:rPr>
                <w:rFonts w:hint="eastAsia" w:ascii="仿宋" w:eastAsia="仿宋"/>
                <w:sz w:val="24"/>
              </w:rPr>
            </w:pPr>
            <w:r>
              <w:rPr>
                <w:rFonts w:hint="eastAsia" w:ascii="仿宋" w:eastAsia="仿宋"/>
                <w:sz w:val="24"/>
              </w:rPr>
              <w:t>备注</w:t>
            </w:r>
          </w:p>
        </w:tc>
        <w:tc>
          <w:tcPr>
            <w:tcW w:w="8873" w:type="dxa"/>
            <w:gridSpan w:val="4"/>
            <w:tcBorders>
              <w:top w:val="single" w:color="000000" w:sz="6" w:space="0"/>
              <w:left w:val="single" w:color="000000" w:sz="6" w:space="0"/>
            </w:tcBorders>
          </w:tcPr>
          <w:p>
            <w:pPr>
              <w:spacing w:line="360" w:lineRule="auto"/>
              <w:ind w:firstLine="480" w:firstLineChars="200"/>
              <w:jc w:val="left"/>
              <w:rPr>
                <w:rFonts w:hint="eastAsia" w:ascii="仿宋" w:hAnsi="仿宋" w:eastAsia="仿宋" w:cs="仿宋"/>
                <w:spacing w:val="-4"/>
                <w:sz w:val="24"/>
                <w:szCs w:val="24"/>
                <w:lang w:val="en-US" w:eastAsia="zh-CN" w:bidi="zh-CN"/>
              </w:rPr>
            </w:pPr>
            <w:r>
              <w:rPr>
                <w:rFonts w:hint="eastAsia" w:ascii="仿宋" w:hAnsi="宋体" w:eastAsia="仿宋" w:cs="宋体"/>
                <w:sz w:val="24"/>
                <w:szCs w:val="22"/>
                <w:lang w:val="zh-CN" w:eastAsia="zh-CN" w:bidi="zh-CN"/>
              </w:rPr>
              <w:t>我公司积极主动开展固定污染源例行监测，按照排污单位自行监测技术指南、排污许可证自行监测要求委托社会生态环境监测机构开展监测。我公司还开展泄露点监测和修复，设备与管线组件动静密封点挥发性有机物检测按照相关标准执行，其中泵（轴封）、压缩机（轴封）、搅拌器（轴封）、阀门、泄压设备（安全阀）、取样连接系统、开口阀或开口管线每季度一次，法兰、连接件、其他每半年一次。同时为保证自动监控设施的运维质量，我公司于每季度开展一次自动监控设备的比对监测。</w:t>
            </w:r>
          </w:p>
        </w:tc>
      </w:tr>
    </w:tbl>
    <w:p>
      <w:pPr>
        <w:spacing w:after="0" w:line="254" w:lineRule="exact"/>
        <w:rPr>
          <w:rFonts w:hint="eastAsia" w:ascii="仿宋" w:eastAsia="仿宋"/>
          <w:sz w:val="24"/>
        </w:rPr>
        <w:sectPr>
          <w:pgSz w:w="11910" w:h="16840"/>
          <w:pgMar w:top="1580" w:right="460" w:bottom="280" w:left="460" w:header="720" w:footer="720" w:gutter="0"/>
          <w:pgBorders>
            <w:top w:val="none" w:sz="0" w:space="0"/>
            <w:left w:val="none" w:sz="0" w:space="0"/>
            <w:bottom w:val="none" w:sz="0" w:space="0"/>
            <w:right w:val="none" w:sz="0" w:space="0"/>
          </w:pgBorders>
        </w:sectPr>
      </w:pPr>
    </w:p>
    <w:p>
      <w:pPr>
        <w:pStyle w:val="7"/>
        <w:rPr>
          <w:rFonts w:ascii="Microsoft JhengHei"/>
          <w:b/>
        </w:rPr>
      </w:pPr>
    </w:p>
    <w:p>
      <w:pPr>
        <w:pStyle w:val="3"/>
        <w:spacing w:line="521" w:lineRule="exact"/>
        <w:ind w:left="720"/>
      </w:pPr>
      <w:r>
        <w:t>二、监测内容</w:t>
      </w:r>
    </w:p>
    <w:tbl>
      <w:tblPr>
        <w:tblStyle w:val="8"/>
        <w:tblpPr w:leftFromText="180" w:rightFromText="180" w:vertAnchor="text" w:horzAnchor="page" w:tblpX="801" w:tblpY="77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2271" w:type="dxa"/>
            <w:gridSpan w:val="2"/>
            <w:tcBorders>
              <w:left w:val="single" w:color="000000" w:sz="12" w:space="0"/>
              <w:bottom w:val="single" w:color="auto" w:sz="4"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top"/>
          </w:tcPr>
          <w:p>
            <w:pPr>
              <w:ind w:left="0" w:leftChars="0" w:right="0" w:rightChars="0"/>
              <w:jc w:val="center"/>
              <w:rPr>
                <w:rFonts w:hint="eastAsia"/>
                <w:sz w:val="24"/>
                <w:lang w:eastAsia="zh-CN"/>
              </w:rPr>
            </w:pPr>
          </w:p>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厂界</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line="290" w:lineRule="exact"/>
              <w:ind w:left="132" w:leftChars="0" w:right="102" w:rightChars="0"/>
              <w:jc w:val="center"/>
              <w:rPr>
                <w:rFonts w:hint="default" w:ascii="宋体" w:hAnsi="宋体" w:eastAsia="宋体" w:cs="宋体"/>
                <w:sz w:val="24"/>
                <w:szCs w:val="22"/>
                <w:lang w:val="en-US" w:eastAsia="zh-CN" w:bidi="zh-CN"/>
              </w:rPr>
            </w:pPr>
            <w:r>
              <w:rPr>
                <w:rFonts w:hint="eastAsia"/>
                <w:sz w:val="24"/>
                <w:lang w:eastAsia="zh-CN"/>
              </w:rPr>
              <w:t>挥发性有机物排放标准</w:t>
            </w:r>
            <w:r>
              <w:rPr>
                <w:rFonts w:hint="eastAsia"/>
                <w:sz w:val="24"/>
                <w:lang w:val="en-US" w:eastAsia="zh-CN"/>
              </w:rPr>
              <w:t xml:space="preserve"> 第6部分 有机化工行业DB37/2801.6-2018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 mg/m3</w:t>
            </w:r>
          </w:p>
        </w:tc>
        <w:tc>
          <w:tcPr>
            <w:tcW w:w="1871" w:type="dxa"/>
            <w:vAlign w:val="top"/>
          </w:tcPr>
          <w:p>
            <w:pPr>
              <w:pStyle w:val="14"/>
              <w:spacing w:before="170" w:line="249" w:lineRule="auto"/>
              <w:ind w:right="132" w:rightChars="0"/>
              <w:rPr>
                <w:rFonts w:hint="default" w:ascii="宋体" w:hAnsi="宋体" w:eastAsia="宋体" w:cs="宋体"/>
                <w:sz w:val="24"/>
                <w:szCs w:val="22"/>
                <w:lang w:val="en-US"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721" w:type="dxa"/>
            <w:vAlign w:val="top"/>
          </w:tcPr>
          <w:p>
            <w:pPr>
              <w:pStyle w:val="14"/>
              <w:spacing w:before="17"/>
              <w:rPr>
                <w:rFonts w:ascii="Microsoft JhengHei"/>
                <w:b/>
                <w:sz w:val="17"/>
              </w:rPr>
            </w:pPr>
          </w:p>
          <w:p>
            <w:pPr>
              <w:pStyle w:val="14"/>
              <w:ind w:left="127" w:leftChars="0" w:right="97" w:rightChars="0"/>
              <w:jc w:val="center"/>
              <w:rPr>
                <w:rFonts w:hint="eastAsia" w:ascii="宋体" w:hAnsi="宋体" w:eastAsia="宋体" w:cs="宋体"/>
                <w:sz w:val="24"/>
                <w:szCs w:val="22"/>
                <w:lang w:val="zh-CN" w:eastAsia="zh-CN" w:bidi="zh-CN"/>
              </w:rPr>
            </w:pPr>
            <w:r>
              <w:rPr>
                <w:rFonts w:hint="eastAsia"/>
                <w:sz w:val="24"/>
                <w:lang w:eastAsia="zh-CN"/>
              </w:rPr>
              <w:t>气相色谱法</w:t>
            </w:r>
          </w:p>
        </w:tc>
        <w:tc>
          <w:tcPr>
            <w:tcW w:w="2318" w:type="dxa"/>
            <w:tcBorders>
              <w:right w:val="single" w:color="000000" w:sz="12" w:space="0"/>
            </w:tcBorders>
            <w:vAlign w:val="top"/>
          </w:tcPr>
          <w:p>
            <w:pPr>
              <w:pStyle w:val="14"/>
              <w:spacing w:before="17"/>
              <w:rPr>
                <w:rFonts w:ascii="Microsoft JhengHei"/>
                <w:b/>
                <w:sz w:val="17"/>
              </w:rPr>
            </w:pPr>
          </w:p>
          <w:p>
            <w:pPr>
              <w:pStyle w:val="14"/>
              <w:ind w:right="0" w:rightChars="0"/>
              <w:rPr>
                <w:rFonts w:hint="eastAsia" w:ascii="宋体" w:hAnsi="宋体" w:eastAsia="宋体" w:cs="宋体"/>
                <w:sz w:val="24"/>
                <w:szCs w:val="22"/>
                <w:lang w:val="zh-CN" w:eastAsia="zh-CN" w:bidi="zh-CN"/>
              </w:rPr>
            </w:pPr>
            <w:r>
              <w:rPr>
                <w:rFonts w:hint="eastAsia"/>
                <w:sz w:val="24"/>
                <w:lang w:eastAsia="zh-CN"/>
              </w:rPr>
              <w:t>依托山东石大胜华化工集团股份有限公司厂界检测浓度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bottom w:val="nil"/>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设备与管线组件动密封点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1871"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泵、压缩机、阀门、开口阀或开口管线每季度检测一次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tcBorders>
              <w:top w:val="nil"/>
              <w:left w:val="single" w:color="000000" w:sz="12" w:space="0"/>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设备与管线组件静密封点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 xml:space="preserve">1 </w:t>
            </w:r>
            <w:r>
              <w:rPr>
                <w:rFonts w:hint="eastAsia"/>
                <w:sz w:val="24"/>
                <w:lang w:eastAsia="zh-CN"/>
              </w:rPr>
              <w:t>半年</w:t>
            </w:r>
            <w:r>
              <w:rPr>
                <w:sz w:val="24"/>
              </w:rPr>
              <w:t>/次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1871"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sz w:val="24"/>
                <w:lang w:eastAsia="zh-CN"/>
              </w:rPr>
              <w:t>固定污染源废气总烃、甲烷和非甲烷总烃的测定</w:t>
            </w:r>
            <w:r>
              <w:rPr>
                <w:rFonts w:hint="eastAsia"/>
                <w:sz w:val="24"/>
                <w:lang w:val="en-US" w:eastAsia="zh-CN"/>
              </w:rPr>
              <w:t xml:space="preserve"> 气相色谱法 HJ38-2017</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zh-CN"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right="0" w:rightChars="0"/>
              <w:jc w:val="both"/>
              <w:rPr>
                <w:rFonts w:hint="eastAsia" w:ascii="宋体" w:hAnsi="宋体" w:eastAsia="宋体" w:cs="宋体"/>
                <w:sz w:val="24"/>
                <w:szCs w:val="22"/>
                <w:lang w:val="zh-CN" w:eastAsia="zh-CN" w:bidi="zh-CN"/>
              </w:rPr>
            </w:pPr>
            <w:r>
              <w:rPr>
                <w:rFonts w:hint="eastAsia"/>
                <w:sz w:val="24"/>
                <w:lang w:eastAsia="zh-CN"/>
              </w:rPr>
              <w:t>法兰及其他连接件、其他密封设备</w:t>
            </w:r>
          </w:p>
        </w:tc>
      </w:tr>
    </w:tbl>
    <w:p>
      <w:pPr>
        <w:pStyle w:val="5"/>
        <w:spacing w:line="240" w:lineRule="auto"/>
        <w:ind w:left="6380" w:right="6439"/>
      </w:pPr>
      <w:r>
        <w:t>无组织自行监测内容表</w:t>
      </w:r>
    </w:p>
    <w:tbl>
      <w:tblPr>
        <w:tblStyle w:val="8"/>
        <w:tblpPr w:leftFromText="180" w:rightFromText="180" w:vertAnchor="text" w:horzAnchor="page" w:tblpX="758" w:tblpY="10"/>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1"/>
        <w:gridCol w:w="133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271" w:type="dxa"/>
            <w:tcBorders>
              <w:left w:val="single" w:color="000000" w:sz="12" w:space="0"/>
            </w:tcBorders>
          </w:tcPr>
          <w:p>
            <w:pPr>
              <w:pStyle w:val="14"/>
              <w:spacing w:line="420"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污染物排放方式及排放去向</w:t>
            </w:r>
          </w:p>
        </w:tc>
        <w:tc>
          <w:tcPr>
            <w:tcW w:w="13343" w:type="dxa"/>
            <w:tcBorders>
              <w:right w:val="single" w:color="000000" w:sz="12" w:space="0"/>
            </w:tcBorders>
          </w:tcPr>
          <w:p>
            <w:pPr>
              <w:rPr>
                <w:rFonts w:ascii="Arial" w:hAnsi="Arial" w:cs="Arial"/>
                <w:sz w:val="24"/>
                <w:szCs w:val="24"/>
              </w:rPr>
            </w:pPr>
          </w:p>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:无组织排放</w:t>
            </w:r>
          </w:p>
          <w:p>
            <w:pPr>
              <w:pStyle w:val="14"/>
              <w:rPr>
                <w:rFonts w:ascii="Times New Roman"/>
                <w:sz w:val="24"/>
              </w:rPr>
            </w:pPr>
            <w:r>
              <w:rPr>
                <w:rFonts w:hint="eastAsia" w:ascii="Arial" w:hAnsi="Arial" w:cs="Arial"/>
                <w:sz w:val="24"/>
                <w:szCs w:val="24"/>
              </w:rPr>
              <w:t>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2271" w:type="dxa"/>
            <w:tcBorders>
              <w:left w:val="single" w:color="000000" w:sz="12" w:space="0"/>
            </w:tcBorders>
          </w:tcPr>
          <w:p>
            <w:pPr>
              <w:pStyle w:val="14"/>
              <w:spacing w:before="2"/>
              <w:rPr>
                <w:rFonts w:ascii="Microsoft JhengHei"/>
                <w:b/>
                <w:sz w:val="13"/>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tcBorders>
              <w:right w:val="single" w:color="000000" w:sz="12" w:space="0"/>
            </w:tcBorders>
          </w:tcPr>
          <w:p>
            <w:pPr>
              <w:pStyle w:val="14"/>
              <w:spacing w:before="67"/>
              <w:ind w:left="235"/>
              <w:rPr>
                <w:sz w:val="24"/>
              </w:rPr>
            </w:pPr>
            <w:r>
              <w:rPr>
                <w:rFonts w:hint="eastAsia"/>
                <w:lang w:eastAsia="zh-CN"/>
              </w:rPr>
              <w:t>采样和样品保存按照《大气污染物无组织排放监测技术导则》（</w:t>
            </w:r>
            <w:r>
              <w:rPr>
                <w:rFonts w:hint="eastAsia"/>
                <w:lang w:val="en-US" w:eastAsia="zh-CN"/>
              </w:rPr>
              <w:t>HJ/T55-2000</w:t>
            </w:r>
            <w:r>
              <w:rPr>
                <w:rFonts w:hint="eastAsia"/>
                <w:lang w:eastAsia="zh-CN"/>
              </w:rPr>
              <w:t>）</w:t>
            </w:r>
            <w:r>
              <w:rPr>
                <w:rFonts w:hint="eastAsia"/>
                <w:lang w:val="en-US" w:eastAsia="zh-CN"/>
              </w:rPr>
              <w:t>和《大气污染物综合排放标准》（GB16297-1996）执行，采样数为3个。</w:t>
            </w:r>
            <w:r>
              <w:rPr>
                <w:rFonts w:hint="eastAsia" w:ascii="宋体" w:hAnsi="宋体"/>
              </w:rPr>
              <w:t>委托有资质的机构处理，并监督委托有资质的机构</w:t>
            </w:r>
            <w:r>
              <w:rPr>
                <w:rFonts w:hint="eastAsia" w:ascii="宋体" w:hAnsi="宋体"/>
                <w:color w:val="000000"/>
                <w:sz w:val="20"/>
                <w:szCs w:val="20"/>
              </w:rPr>
              <w:t xml:space="preserve">参照相关污染物排放标准及 </w:t>
            </w:r>
            <w:r>
              <w:rPr>
                <w:rFonts w:ascii="Times New Roman" w:hAnsi="Times New Roman"/>
                <w:color w:val="000000"/>
                <w:sz w:val="20"/>
                <w:szCs w:val="20"/>
              </w:rPr>
              <w:t>HJ/T 55</w:t>
            </w:r>
            <w:r>
              <w:rPr>
                <w:rFonts w:hint="eastAsia" w:ascii="宋体" w:hAnsi="宋体"/>
                <w:color w:val="000000"/>
                <w:sz w:val="20"/>
                <w:szCs w:val="20"/>
              </w:rPr>
              <w:t>、</w:t>
            </w:r>
            <w:r>
              <w:rPr>
                <w:rFonts w:ascii="Times New Roman" w:hAnsi="Times New Roman"/>
                <w:color w:val="000000"/>
                <w:sz w:val="20"/>
                <w:szCs w:val="20"/>
              </w:rPr>
              <w:t xml:space="preserve">HJ 733 </w:t>
            </w:r>
            <w:r>
              <w:rPr>
                <w:rFonts w:hint="eastAsia" w:ascii="宋体" w:hAnsi="宋体"/>
                <w:color w:val="000000"/>
                <w:sz w:val="20"/>
                <w:szCs w:val="20"/>
              </w:rPr>
              <w:t>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2271" w:type="dxa"/>
            <w:tcBorders>
              <w:left w:val="single" w:color="000000" w:sz="12" w:space="0"/>
            </w:tcBorders>
          </w:tcPr>
          <w:p>
            <w:pPr>
              <w:pStyle w:val="14"/>
              <w:spacing w:before="13"/>
              <w:rPr>
                <w:rFonts w:ascii="Microsoft JhengHei"/>
                <w:b/>
                <w:sz w:val="20"/>
              </w:rPr>
            </w:pPr>
          </w:p>
          <w:p>
            <w:pPr>
              <w:pStyle w:val="14"/>
              <w:ind w:left="155" w:right="133"/>
              <w:jc w:val="center"/>
              <w:rPr>
                <w:rFonts w:hint="eastAsia" w:ascii="Microsoft JhengHei" w:eastAsia="Microsoft JhengHei"/>
                <w:b/>
                <w:sz w:val="24"/>
              </w:rPr>
            </w:pPr>
            <w:r>
              <w:rPr>
                <w:rFonts w:hint="eastAsia" w:ascii="Microsoft JhengHei" w:eastAsia="Microsoft JhengHei"/>
                <w:b/>
                <w:sz w:val="24"/>
              </w:rPr>
              <w:t>监测质量控制措施</w:t>
            </w:r>
          </w:p>
        </w:tc>
        <w:tc>
          <w:tcPr>
            <w:tcW w:w="13343" w:type="dxa"/>
            <w:tcBorders>
              <w:right w:val="single" w:color="000000" w:sz="12" w:space="0"/>
            </w:tcBorders>
          </w:tcPr>
          <w:p>
            <w:pPr>
              <w:pStyle w:val="14"/>
              <w:spacing w:before="66"/>
              <w:ind w:left="115"/>
              <w:rPr>
                <w:sz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tcBorders>
              <w:right w:val="single" w:color="000000" w:sz="12" w:space="0"/>
            </w:tcBorders>
          </w:tcPr>
          <w:p>
            <w:pPr>
              <w:rPr>
                <w:sz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bottom w:val="single" w:color="000000" w:sz="12" w:space="0"/>
            </w:tcBorders>
          </w:tcPr>
          <w:p>
            <w:pPr>
              <w:pStyle w:val="14"/>
              <w:spacing w:before="6"/>
              <w:rPr>
                <w:rFonts w:ascii="Microsoft JhengHei"/>
                <w:b/>
                <w:sz w:val="15"/>
              </w:rPr>
            </w:pPr>
          </w:p>
          <w:p>
            <w:pPr>
              <w:pStyle w:val="14"/>
              <w:spacing w:before="1"/>
              <w:ind w:left="155" w:right="133"/>
              <w:jc w:val="center"/>
              <w:rPr>
                <w:rFonts w:hint="eastAsia" w:ascii="Microsoft JhengHei" w:eastAsia="Microsoft JhengHei"/>
                <w:b/>
                <w:sz w:val="24"/>
              </w:rPr>
            </w:pPr>
            <w:r>
              <w:rPr>
                <w:rFonts w:hint="eastAsia" w:ascii="Microsoft JhengHei" w:eastAsia="Microsoft JhengHei"/>
                <w:b/>
                <w:sz w:val="24"/>
              </w:rPr>
              <w:t>备注</w:t>
            </w:r>
          </w:p>
        </w:tc>
        <w:tc>
          <w:tcPr>
            <w:tcW w:w="13343" w:type="dxa"/>
            <w:tcBorders>
              <w:bottom w:val="single" w:color="000000" w:sz="12" w:space="0"/>
              <w:right w:val="single" w:color="000000" w:sz="12" w:space="0"/>
            </w:tcBorders>
          </w:tcPr>
          <w:p>
            <w:pPr>
              <w:pStyle w:val="14"/>
              <w:rPr>
                <w:rFonts w:ascii="Times New Roman"/>
                <w:sz w:val="24"/>
              </w:rPr>
            </w:pPr>
            <w:r>
              <w:rPr>
                <w:rFonts w:hint="eastAsia" w:ascii="Arial" w:hAnsi="Arial" w:eastAsia="宋体" w:cs="Arial"/>
                <w:color w:val="auto"/>
                <w:sz w:val="24"/>
                <w:szCs w:val="24"/>
                <w:lang w:val="zh-CN" w:eastAsia="zh-CN" w:bidi="zh-CN"/>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测点位数约为</w:t>
            </w:r>
            <w:r>
              <w:rPr>
                <w:rFonts w:hint="eastAsia" w:ascii="Arial" w:hAnsi="Arial" w:cs="Arial"/>
                <w:color w:val="auto"/>
                <w:sz w:val="24"/>
                <w:szCs w:val="24"/>
                <w:lang w:val="en-US" w:eastAsia="zh-CN" w:bidi="zh-CN"/>
              </w:rPr>
              <w:t>5048</w:t>
            </w:r>
            <w:r>
              <w:rPr>
                <w:rFonts w:hint="eastAsia" w:ascii="Arial" w:hAnsi="Arial" w:eastAsia="宋体" w:cs="Arial"/>
                <w:color w:val="auto"/>
                <w:sz w:val="24"/>
                <w:szCs w:val="24"/>
                <w:lang w:val="zh-CN" w:eastAsia="zh-CN" w:bidi="zh-CN"/>
              </w:rPr>
              <w:t>个，法兰、连接件、其他每半年一次，监测点位数约为</w:t>
            </w:r>
            <w:r>
              <w:rPr>
                <w:rFonts w:hint="eastAsia" w:ascii="Arial" w:hAnsi="Arial" w:cs="Arial"/>
                <w:color w:val="auto"/>
                <w:sz w:val="24"/>
                <w:szCs w:val="24"/>
                <w:lang w:val="en-US" w:eastAsia="zh-CN" w:bidi="zh-CN"/>
              </w:rPr>
              <w:t>11207</w:t>
            </w:r>
            <w:r>
              <w:rPr>
                <w:rFonts w:hint="eastAsia" w:ascii="Arial" w:hAnsi="Arial" w:eastAsia="宋体" w:cs="Arial"/>
                <w:color w:val="auto"/>
                <w:sz w:val="24"/>
                <w:szCs w:val="24"/>
                <w:lang w:val="zh-CN" w:eastAsia="zh-CN" w:bidi="zh-CN"/>
              </w:rPr>
              <w:t>个，监测数据填报至</w:t>
            </w:r>
            <w:r>
              <w:rPr>
                <w:rFonts w:hint="eastAsia" w:ascii="Arial" w:hAnsi="Arial" w:cs="Arial"/>
                <w:color w:val="auto"/>
                <w:sz w:val="24"/>
                <w:szCs w:val="24"/>
                <w:lang w:val="en-US" w:eastAsia="zh-CN" w:bidi="zh-CN"/>
              </w:rPr>
              <w:t>VOCs综合治理管控平台</w:t>
            </w:r>
            <w:r>
              <w:rPr>
                <w:rFonts w:hint="eastAsia" w:ascii="Arial" w:hAnsi="Arial" w:eastAsia="宋体" w:cs="Arial"/>
                <w:color w:val="auto"/>
                <w:sz w:val="24"/>
                <w:szCs w:val="24"/>
                <w:lang w:val="zh-CN" w:eastAsia="zh-CN" w:bidi="zh-CN"/>
              </w:rPr>
              <w:t>，泄露监测报告存管情况。</w:t>
            </w: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704"/>
        <w:gridCol w:w="704"/>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5614" w:type="dxa"/>
            <w:gridSpan w:val="10"/>
            <w:tcBorders>
              <w:top w:val="nil"/>
              <w:left w:val="nil"/>
              <w:bottom w:val="single" w:color="auto" w:sz="4" w:space="0"/>
              <w:right w:val="nil"/>
            </w:tcBorders>
          </w:tcPr>
          <w:p>
            <w:pPr>
              <w:spacing w:before="0" w:line="484" w:lineRule="exact"/>
              <w:ind w:right="6439"/>
              <w:jc w:val="center"/>
              <w:rPr>
                <w:rFonts w:hint="eastAsia" w:ascii="Microsoft JhengHei" w:eastAsia="Microsoft JhengHei"/>
                <w:b/>
                <w:sz w:val="24"/>
              </w:rPr>
            </w:pPr>
            <w:r>
              <w:rPr>
                <w:rFonts w:hint="eastAsia" w:ascii="Microsoft JhengHei"/>
                <w:b/>
                <w:sz w:val="28"/>
                <w:lang w:val="en-US" w:eastAsia="zh-CN"/>
              </w:rPr>
              <w:t xml:space="preserve">                                                                                       </w:t>
            </w:r>
            <w:r>
              <w:rPr>
                <w:rFonts w:hint="eastAsia" w:ascii="Microsoft JhengHei" w:eastAsia="Microsoft JhengHei"/>
                <w:b/>
                <w:sz w:val="28"/>
              </w:rPr>
              <w:t>厂界噪声自行监测内容表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restart"/>
            <w:tcBorders>
              <w:top w:val="single" w:color="auto" w:sz="4" w:space="0"/>
              <w:left w:val="single" w:color="000000" w:sz="12" w:space="0"/>
              <w:bottom w:val="single" w:color="auto" w:sz="4" w:space="0"/>
            </w:tcBorders>
          </w:tcPr>
          <w:p>
            <w:pPr>
              <w:pStyle w:val="14"/>
              <w:ind w:left="108"/>
              <w:rPr>
                <w:sz w:val="24"/>
              </w:rPr>
            </w:pPr>
          </w:p>
        </w:tc>
        <w:tc>
          <w:tcPr>
            <w:tcW w:w="1874" w:type="dxa"/>
            <w:tcBorders>
              <w:top w:val="single" w:color="auto" w:sz="4" w:space="0"/>
              <w:bottom w:val="single" w:color="auto" w:sz="4" w:space="0"/>
            </w:tcBorders>
            <w:vAlign w:val="top"/>
          </w:tcPr>
          <w:p>
            <w:pPr>
              <w:pStyle w:val="14"/>
              <w:spacing w:line="358" w:lineRule="exact"/>
              <w:ind w:firstLine="720" w:firstLineChars="300"/>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tcBorders>
              <w:top w:val="single" w:color="auto" w:sz="4" w:space="0"/>
              <w:bottom w:val="single" w:color="auto" w:sz="4" w:space="0"/>
            </w:tcBorders>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tcBorders>
              <w:top w:val="single" w:color="auto" w:sz="4" w:space="0"/>
              <w:bottom w:val="single" w:color="auto" w:sz="4" w:space="0"/>
            </w:tcBorders>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tcBorders>
              <w:top w:val="single" w:color="auto" w:sz="4" w:space="0"/>
              <w:bottom w:val="single" w:color="auto" w:sz="4" w:space="0"/>
            </w:tcBorders>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gridSpan w:val="2"/>
            <w:tcBorders>
              <w:top w:val="single" w:color="auto" w:sz="4" w:space="0"/>
              <w:bottom w:val="single" w:color="auto" w:sz="4" w:space="0"/>
            </w:tcBorders>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tcBorders>
              <w:top w:val="single" w:color="auto" w:sz="4" w:space="0"/>
              <w:bottom w:val="single" w:color="auto" w:sz="4" w:space="0"/>
            </w:tcBorders>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tcBorders>
              <w:top w:val="single" w:color="auto" w:sz="4" w:space="0"/>
              <w:bottom w:val="single" w:color="auto" w:sz="4" w:space="0"/>
            </w:tcBorders>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top w:val="single" w:color="auto" w:sz="4" w:space="0"/>
              <w:bottom w:val="single" w:color="auto" w:sz="4" w:space="0"/>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continue"/>
            <w:tcBorders>
              <w:top w:val="single" w:color="auto" w:sz="4" w:space="0"/>
              <w:left w:val="single" w:color="000000" w:sz="12" w:space="0"/>
            </w:tcBorders>
          </w:tcPr>
          <w:p>
            <w:pPr>
              <w:pStyle w:val="14"/>
              <w:ind w:left="108"/>
              <w:rPr>
                <w:sz w:val="24"/>
              </w:rPr>
            </w:pPr>
          </w:p>
        </w:tc>
        <w:tc>
          <w:tcPr>
            <w:tcW w:w="1874" w:type="dxa"/>
            <w:tcBorders>
              <w:top w:val="single" w:color="auto" w:sz="4" w:space="0"/>
            </w:tcBorders>
            <w:vAlign w:val="top"/>
          </w:tcPr>
          <w:p>
            <w:pPr>
              <w:pStyle w:val="14"/>
              <w:spacing w:before="16" w:line="249" w:lineRule="auto"/>
              <w:ind w:left="115" w:leftChars="0" w:right="61" w:rightChars="0" w:firstLine="109" w:firstLineChars="0"/>
              <w:rPr>
                <w:rFonts w:ascii="宋体" w:hAnsi="宋体" w:eastAsia="宋体" w:cs="宋体"/>
                <w:sz w:val="24"/>
                <w:szCs w:val="22"/>
                <w:lang w:val="zh-CN" w:eastAsia="zh-CN" w:bidi="zh-CN"/>
              </w:rPr>
            </w:pPr>
            <w:r>
              <w:rPr>
                <w:sz w:val="24"/>
              </w:rPr>
              <w:t>工业企业厂界环境噪声(夜间)</w:t>
            </w:r>
          </w:p>
        </w:tc>
        <w:tc>
          <w:tcPr>
            <w:tcW w:w="1966" w:type="dxa"/>
            <w:tcBorders>
              <w:top w:val="single" w:color="auto" w:sz="4" w:space="0"/>
            </w:tcBorders>
            <w:vAlign w:val="top"/>
          </w:tcPr>
          <w:p>
            <w:pPr>
              <w:pStyle w:val="14"/>
              <w:spacing w:before="5"/>
              <w:rPr>
                <w:rFonts w:ascii="Microsoft JhengHei"/>
                <w:b/>
                <w:sz w:val="18"/>
              </w:rPr>
            </w:pPr>
          </w:p>
          <w:p>
            <w:pPr>
              <w:pStyle w:val="14"/>
              <w:ind w:left="130" w:leftChars="0" w:right="100" w:rightChars="0"/>
              <w:jc w:val="center"/>
              <w:rPr>
                <w:rFonts w:ascii="宋体" w:hAnsi="宋体" w:eastAsia="宋体" w:cs="宋体"/>
                <w:sz w:val="24"/>
                <w:szCs w:val="22"/>
                <w:lang w:val="zh-CN" w:eastAsia="zh-CN" w:bidi="zh-CN"/>
              </w:rPr>
            </w:pPr>
            <w:r>
              <w:rPr>
                <w:sz w:val="24"/>
              </w:rPr>
              <w:t>厂界</w:t>
            </w:r>
          </w:p>
        </w:tc>
        <w:tc>
          <w:tcPr>
            <w:tcW w:w="1405" w:type="dxa"/>
            <w:tcBorders>
              <w:top w:val="single" w:color="auto" w:sz="4" w:space="0"/>
            </w:tcBorders>
            <w:vAlign w:val="top"/>
          </w:tcPr>
          <w:p>
            <w:pPr>
              <w:pStyle w:val="14"/>
              <w:spacing w:before="5"/>
              <w:rPr>
                <w:rFonts w:ascii="Microsoft JhengHei"/>
                <w:b/>
                <w:sz w:val="18"/>
              </w:rPr>
            </w:pPr>
          </w:p>
          <w:p>
            <w:pPr>
              <w:pStyle w:val="14"/>
              <w:ind w:left="200" w:leftChars="0" w:right="0" w:rightChars="0"/>
              <w:rPr>
                <w:rFonts w:ascii="宋体" w:hAnsi="宋体" w:eastAsia="宋体" w:cs="宋体"/>
                <w:sz w:val="24"/>
                <w:szCs w:val="22"/>
                <w:lang w:val="zh-CN" w:eastAsia="zh-CN" w:bidi="zh-CN"/>
              </w:rPr>
            </w:pPr>
            <w:r>
              <w:rPr>
                <w:sz w:val="24"/>
              </w:rPr>
              <w:t>1 季度/次</w:t>
            </w:r>
          </w:p>
        </w:tc>
        <w:tc>
          <w:tcPr>
            <w:tcW w:w="2654" w:type="dxa"/>
            <w:tcBorders>
              <w:top w:val="single" w:color="auto" w:sz="4" w:space="0"/>
            </w:tcBorders>
            <w:vAlign w:val="top"/>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leftChars="0" w:right="102" w:rightChars="0"/>
              <w:jc w:val="center"/>
              <w:rPr>
                <w:rFonts w:ascii="宋体" w:hAnsi="宋体" w:eastAsia="宋体" w:cs="宋体"/>
                <w:sz w:val="24"/>
                <w:szCs w:val="22"/>
                <w:lang w:val="zh-CN" w:eastAsia="zh-CN" w:bidi="zh-CN"/>
              </w:rPr>
            </w:pPr>
            <w:r>
              <w:rPr>
                <w:sz w:val="24"/>
              </w:rPr>
              <w:t>2008)</w:t>
            </w:r>
          </w:p>
        </w:tc>
        <w:tc>
          <w:tcPr>
            <w:tcW w:w="1408" w:type="dxa"/>
            <w:gridSpan w:val="2"/>
            <w:tcBorders>
              <w:top w:val="single" w:color="auto" w:sz="4" w:space="0"/>
            </w:tcBorders>
            <w:vAlign w:val="top"/>
          </w:tcPr>
          <w:p>
            <w:pPr>
              <w:pStyle w:val="14"/>
              <w:spacing w:before="5"/>
              <w:rPr>
                <w:rFonts w:ascii="Microsoft JhengHei"/>
                <w:b/>
                <w:sz w:val="18"/>
              </w:rPr>
            </w:pPr>
          </w:p>
          <w:p>
            <w:pPr>
              <w:pStyle w:val="14"/>
              <w:ind w:left="411" w:leftChars="0" w:right="0" w:rightChars="0"/>
              <w:rPr>
                <w:rFonts w:ascii="宋体" w:hAnsi="宋体" w:eastAsia="宋体" w:cs="宋体"/>
                <w:sz w:val="24"/>
                <w:szCs w:val="22"/>
                <w:lang w:val="zh-CN" w:eastAsia="zh-CN" w:bidi="zh-CN"/>
              </w:rPr>
            </w:pPr>
            <w:r>
              <w:rPr>
                <w:sz w:val="24"/>
              </w:rPr>
              <w:t>55 dB</w:t>
            </w:r>
          </w:p>
        </w:tc>
        <w:tc>
          <w:tcPr>
            <w:tcW w:w="1871" w:type="dxa"/>
            <w:tcBorders>
              <w:top w:val="single" w:color="auto" w:sz="4" w:space="0"/>
            </w:tcBorders>
            <w:vAlign w:val="top"/>
          </w:tcPr>
          <w:p>
            <w:pPr>
              <w:pStyle w:val="14"/>
              <w:spacing w:before="3" w:line="320" w:lineRule="atLeast"/>
              <w:ind w:left="193" w:leftChars="0" w:right="162" w:rightChars="0" w:firstLine="30" w:firstLineChars="0"/>
              <w:jc w:val="both"/>
              <w:rPr>
                <w:rFonts w:ascii="宋体" w:hAnsi="宋体" w:eastAsia="宋体" w:cs="宋体"/>
                <w:sz w:val="24"/>
                <w:szCs w:val="22"/>
                <w:lang w:val="zh-CN" w:eastAsia="zh-CN" w:bidi="zh-CN"/>
              </w:rPr>
            </w:pPr>
            <w:r>
              <w:rPr>
                <w:sz w:val="24"/>
              </w:rPr>
              <w:t>工业企业厂界环境噪声排放</w:t>
            </w:r>
            <w:r>
              <w:rPr>
                <w:spacing w:val="-20"/>
                <w:sz w:val="24"/>
              </w:rPr>
              <w:t xml:space="preserve">标准 </w:t>
            </w:r>
            <w:r>
              <w:rPr>
                <w:spacing w:val="-3"/>
                <w:sz w:val="24"/>
              </w:rPr>
              <w:t>GB12348-</w:t>
            </w:r>
          </w:p>
        </w:tc>
        <w:tc>
          <w:tcPr>
            <w:tcW w:w="1721" w:type="dxa"/>
            <w:tcBorders>
              <w:top w:val="single" w:color="auto" w:sz="4" w:space="0"/>
            </w:tcBorders>
            <w:vAlign w:val="top"/>
          </w:tcPr>
          <w:p>
            <w:pPr>
              <w:pStyle w:val="14"/>
              <w:spacing w:before="5"/>
              <w:rPr>
                <w:rFonts w:ascii="Microsoft JhengHei"/>
                <w:b/>
                <w:sz w:val="18"/>
              </w:rPr>
            </w:pPr>
          </w:p>
          <w:p>
            <w:pPr>
              <w:pStyle w:val="14"/>
              <w:ind w:left="127" w:leftChars="0" w:right="97" w:rightChars="0"/>
              <w:jc w:val="center"/>
              <w:rPr>
                <w:rFonts w:ascii="宋体" w:hAnsi="宋体" w:eastAsia="宋体" w:cs="宋体"/>
                <w:sz w:val="24"/>
                <w:szCs w:val="22"/>
                <w:lang w:val="zh-CN" w:eastAsia="zh-CN" w:bidi="zh-CN"/>
              </w:rPr>
            </w:pPr>
            <w:r>
              <w:rPr>
                <w:sz w:val="24"/>
              </w:rPr>
              <w:t>噪声计</w:t>
            </w:r>
          </w:p>
        </w:tc>
        <w:tc>
          <w:tcPr>
            <w:tcW w:w="2318" w:type="dxa"/>
            <w:tcBorders>
              <w:top w:val="single" w:color="auto" w:sz="4" w:space="0"/>
              <w:right w:val="single" w:color="000000" w:sz="12" w:space="0"/>
            </w:tcBorders>
            <w:vAlign w:val="top"/>
          </w:tcPr>
          <w:p>
            <w:pPr>
              <w:pStyle w:val="14"/>
              <w:ind w:right="629" w:rightChars="0"/>
              <w:jc w:val="both"/>
              <w:rPr>
                <w:rFonts w:ascii="宋体" w:hAnsi="宋体" w:eastAsia="宋体" w:cs="宋体"/>
                <w:sz w:val="24"/>
                <w:szCs w:val="22"/>
                <w:lang w:val="zh-CN" w:eastAsia="zh-CN" w:bidi="zh-CN"/>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
              <w:rPr>
                <w:sz w:val="24"/>
              </w:rPr>
            </w:pPr>
            <w:r>
              <w:rPr>
                <w:rFonts w:hint="eastAsia"/>
                <w:sz w:val="24"/>
                <w:lang w:eastAsia="zh-CN"/>
              </w:rPr>
              <w:t>依托山东石大胜华化工集团股份有限公司厂界噪声检测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8"/>
            <w:tcBorders>
              <w:right w:val="single" w:color="000000" w:sz="12" w:space="0"/>
            </w:tcBorders>
          </w:tcPr>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:自然排放</w:t>
            </w:r>
          </w:p>
          <w:p>
            <w:pPr>
              <w:pStyle w:val="14"/>
              <w:spacing w:before="94"/>
              <w:ind w:left="115"/>
              <w:rPr>
                <w:sz w:val="24"/>
              </w:rPr>
            </w:pPr>
            <w:r>
              <w:rPr>
                <w:rFonts w:hint="eastAsia" w:ascii="Arial" w:hAnsi="Arial" w:cs="Arial"/>
                <w:sz w:val="24"/>
                <w:szCs w:val="24"/>
              </w:rPr>
              <w:t>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03" w:line="206" w:lineRule="auto"/>
              <w:ind w:left="1015" w:leftChars="0" w:right="152" w:rightChars="0" w:hanging="840" w:firstLine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sz w:val="24"/>
                <w:szCs w:val="22"/>
                <w:lang w:val="zh-CN" w:eastAsia="zh-CN" w:bidi="zh-CN"/>
              </w:rPr>
            </w:pPr>
            <w:r>
              <w:rPr>
                <w:rFonts w:hint="eastAsia" w:ascii="宋体" w:hAnsi="宋体"/>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9"/>
              <w:rPr>
                <w:rFonts w:ascii="Microsoft JhengHei"/>
                <w:b/>
                <w:sz w:val="13"/>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94"/>
              <w:ind w:left="115" w:leftChars="0" w:right="0" w:rightChars="0"/>
              <w:rPr>
                <w:rFonts w:hint="eastAsia" w:ascii="宋体" w:hAnsi="宋体" w:eastAsia="宋体" w:cs="宋体"/>
                <w:color w:val="auto"/>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59" w:hRule="atLeast"/>
        </w:trPr>
        <w:tc>
          <w:tcPr>
            <w:tcW w:w="2271" w:type="dxa"/>
            <w:gridSpan w:val="2"/>
            <w:tcBorders>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spacing w:before="0" w:line="515" w:lineRule="exact"/>
        <w:ind w:left="698" w:right="0" w:firstLine="0"/>
        <w:jc w:val="left"/>
        <w:rPr>
          <w:rFonts w:hint="eastAsia" w:ascii="Microsoft JhengHei" w:eastAsia="Microsoft JhengHei"/>
          <w:b/>
          <w:sz w:val="32"/>
        </w:rPr>
      </w:pPr>
      <w:r>
        <w:rPr>
          <w:rFonts w:hint="eastAsia" w:ascii="Microsoft JhengHei" w:eastAsia="Microsoft JhengHei"/>
          <w:b/>
          <w:sz w:val="32"/>
        </w:rPr>
        <w:t>三、附件</w:t>
      </w:r>
    </w:p>
    <w:p>
      <w:pPr>
        <w:pStyle w:val="7"/>
        <w:rPr>
          <w:rFonts w:ascii="Microsoft JhengHei"/>
          <w:b/>
          <w:sz w:val="20"/>
        </w:rPr>
      </w:pPr>
    </w:p>
    <w:p>
      <w:pPr>
        <w:pStyle w:val="7"/>
        <w:spacing w:before="14"/>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hint="eastAsia"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7"/>
        <w:spacing w:before="9"/>
        <w:rPr>
          <w:sz w:val="12"/>
        </w:rPr>
      </w:pPr>
    </w:p>
    <w:p>
      <w:pPr>
        <w:pStyle w:val="7"/>
        <w:rPr>
          <w:sz w:val="20"/>
        </w:rPr>
      </w:pPr>
    </w:p>
    <w:p>
      <w:pPr>
        <w:pStyle w:val="7"/>
        <w:rPr>
          <w:sz w:val="20"/>
        </w:rPr>
      </w:pPr>
    </w:p>
    <w:p>
      <w:pPr>
        <w:pStyle w:val="7"/>
        <w:rPr>
          <w:sz w:val="20"/>
        </w:rPr>
      </w:pPr>
      <w:r>
        <w:drawing>
          <wp:inline distT="0" distB="0" distL="114300" distR="114300">
            <wp:extent cx="5035550" cy="572262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035550" cy="5722620"/>
                    </a:xfrm>
                    <a:prstGeom prst="rect">
                      <a:avLst/>
                    </a:prstGeom>
                    <a:noFill/>
                    <a:ln>
                      <a:noFill/>
                    </a:ln>
                  </pic:spPr>
                </pic:pic>
              </a:graphicData>
            </a:graphic>
          </wp:inline>
        </w:drawing>
      </w:r>
    </w:p>
    <w:p>
      <w:pPr>
        <w:pStyle w:val="7"/>
        <w:rPr>
          <w:sz w:val="20"/>
        </w:rPr>
      </w:pPr>
    </w:p>
    <w:p>
      <w:pPr>
        <w:pStyle w:val="7"/>
        <w:rPr>
          <w:sz w:val="20"/>
        </w:rPr>
      </w:pPr>
    </w:p>
    <w:p>
      <w:pPr>
        <w:pStyle w:val="7"/>
        <w:rPr>
          <w:sz w:val="20"/>
        </w:rPr>
      </w:pPr>
    </w:p>
    <w:p>
      <w:pPr>
        <w:pStyle w:val="7"/>
        <w:spacing w:before="12"/>
        <w:rPr>
          <w:sz w:val="19"/>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pStyle w:val="2"/>
        <w:rPr>
          <w:rFonts w:hint="eastAsia" w:ascii="Microsoft JhengHei" w:eastAsia="Microsoft JhengHei"/>
          <w:b/>
          <w:sz w:val="28"/>
        </w:rPr>
      </w:pPr>
    </w:p>
    <w:p>
      <w:pPr>
        <w:pStyle w:val="2"/>
        <w:rPr>
          <w:rFonts w:hint="eastAsia" w:ascii="Microsoft JhengHei" w:eastAsia="Microsoft JhengHei"/>
          <w:b/>
          <w:sz w:val="28"/>
        </w:rPr>
      </w:pPr>
      <w:r>
        <w:rPr>
          <w:rFonts w:ascii="Times New Roman" w:hAnsi="Times New Roman" w:eastAsia="仿宋_GB2312"/>
          <w:sz w:val="24"/>
        </w:rPr>
        <w:drawing>
          <wp:anchor distT="0" distB="0" distL="114300" distR="114300" simplePos="0" relativeHeight="251659264" behindDoc="0" locked="0" layoutInCell="1" allowOverlap="1">
            <wp:simplePos x="0" y="0"/>
            <wp:positionH relativeFrom="column">
              <wp:posOffset>335280</wp:posOffset>
            </wp:positionH>
            <wp:positionV relativeFrom="paragraph">
              <wp:posOffset>-17780</wp:posOffset>
            </wp:positionV>
            <wp:extent cx="5207000" cy="4169410"/>
            <wp:effectExtent l="0" t="0" r="12700" b="254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
                    <a:stretch>
                      <a:fillRect/>
                    </a:stretch>
                  </pic:blipFill>
                  <pic:spPr>
                    <a:xfrm>
                      <a:off x="0" y="0"/>
                      <a:ext cx="5207000" cy="4169410"/>
                    </a:xfrm>
                    <a:prstGeom prst="rect">
                      <a:avLst/>
                    </a:prstGeom>
                    <a:noFill/>
                    <a:ln>
                      <a:noFill/>
                    </a:ln>
                  </pic:spPr>
                </pic:pic>
              </a:graphicData>
            </a:graphic>
          </wp:anchor>
        </w:drawing>
      </w:r>
    </w:p>
    <w:p>
      <w:pPr>
        <w:spacing w:after="0" w:line="484" w:lineRule="exact"/>
        <w:jc w:val="center"/>
        <w:rPr>
          <w:rFonts w:hint="eastAsia" w:ascii="Microsoft JhengHei" w:eastAsia="Microsoft JhengHei"/>
          <w:sz w:val="28"/>
        </w:rPr>
      </w:pPr>
    </w:p>
    <w:p>
      <w:pPr>
        <w:pStyle w:val="2"/>
        <w:rPr>
          <w:rFonts w:hint="eastAsia"/>
        </w:rPr>
        <w:sectPr>
          <w:pgSz w:w="11910" w:h="16840"/>
          <w:pgMar w:top="1440" w:right="860" w:bottom="280" w:left="1200" w:header="720" w:footer="720" w:gutter="0"/>
          <w:pgBorders>
            <w:top w:val="none" w:sz="0" w:space="0"/>
            <w:left w:val="none" w:sz="0" w:space="0"/>
            <w:bottom w:val="none" w:sz="0" w:space="0"/>
            <w:right w:val="none" w:sz="0" w:space="0"/>
          </w:pgBorders>
        </w:sectPr>
      </w:pPr>
    </w:p>
    <w:p>
      <w:pPr>
        <w:pStyle w:val="7"/>
        <w:ind w:left="100"/>
        <w:rPr>
          <w:rFonts w:ascii="Microsoft JhengHei"/>
          <w:sz w:val="20"/>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7"/>
        <w:spacing w:before="8"/>
        <w:rPr>
          <w:rFonts w:ascii="Microsoft JhengHei"/>
          <w:b/>
          <w:sz w:val="17"/>
        </w:rPr>
      </w:pPr>
    </w:p>
    <w:p>
      <w:pPr>
        <w:spacing w:before="0" w:line="417" w:lineRule="auto"/>
        <w:ind w:left="218" w:right="387" w:firstLine="0"/>
        <w:jc w:val="left"/>
        <w:rPr>
          <w:rFonts w:hint="eastAsia" w:ascii="仿宋" w:eastAsia="仿宋"/>
          <w:sz w:val="28"/>
        </w:rPr>
      </w:pPr>
      <w:r>
        <w:rPr>
          <w:rFonts w:hint="eastAsia" w:ascii="仿宋" w:eastAsia="仿宋"/>
          <w:sz w:val="28"/>
        </w:rPr>
        <w:t>（应包括主要工序、工房、设备位置关系，注明厂区雨水、污水收集和运输走向等内容）</w:t>
      </w:r>
    </w:p>
    <w:p>
      <w:pPr>
        <w:spacing w:after="0" w:line="417" w:lineRule="auto"/>
        <w:jc w:val="left"/>
        <w:rPr>
          <w:rFonts w:hint="eastAsia" w:ascii="仿宋" w:eastAsia="仿宋"/>
          <w:sz w:val="28"/>
          <w:lang w:eastAsia="zh-CN"/>
        </w:rPr>
      </w:pPr>
      <w:bookmarkStart w:id="0" w:name="CQPMT"/>
      <w:r>
        <w:rPr>
          <w:rFonts w:ascii="Times New Roman" w:hAnsi="Times New Roman" w:eastAsia="仿宋_GB2312"/>
          <w:sz w:val="24"/>
        </w:rPr>
        <w:drawing>
          <wp:anchor distT="0" distB="0" distL="114300" distR="114300" simplePos="0" relativeHeight="251658240" behindDoc="0" locked="0" layoutInCell="1" allowOverlap="1">
            <wp:simplePos x="0" y="0"/>
            <wp:positionH relativeFrom="column">
              <wp:posOffset>276860</wp:posOffset>
            </wp:positionH>
            <wp:positionV relativeFrom="paragraph">
              <wp:posOffset>288925</wp:posOffset>
            </wp:positionV>
            <wp:extent cx="5207000" cy="4169410"/>
            <wp:effectExtent l="0" t="0" r="12700" b="254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07000" cy="4169410"/>
                    </a:xfrm>
                    <a:prstGeom prst="rect">
                      <a:avLst/>
                    </a:prstGeom>
                    <a:noFill/>
                    <a:ln>
                      <a:noFill/>
                    </a:ln>
                  </pic:spPr>
                </pic:pic>
              </a:graphicData>
            </a:graphic>
          </wp:anchor>
        </w:drawing>
      </w:r>
      <w:bookmarkEnd w:id="0"/>
    </w:p>
    <w:p>
      <w:pPr>
        <w:pStyle w:val="2"/>
        <w:rPr>
          <w:rFonts w:hint="eastAsia"/>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7"/>
        <w:spacing w:before="8"/>
        <w:rPr>
          <w:rFonts w:ascii="Microsoft JhengHei"/>
          <w:b/>
          <w:sz w:val="17"/>
        </w:rPr>
      </w:pPr>
    </w:p>
    <w:p>
      <w:pPr>
        <w:spacing w:before="0"/>
        <w:ind w:left="218" w:right="0" w:firstLine="0"/>
        <w:jc w:val="left"/>
        <w:rPr>
          <w:rFonts w:hint="eastAsia" w:ascii="仿宋" w:eastAsia="仿宋"/>
          <w:sz w:val="28"/>
        </w:rPr>
      </w:pPr>
      <w:r>
        <w:rPr>
          <w:rFonts w:hint="eastAsia" w:ascii="仿宋" w:eastAsia="仿宋"/>
          <w:sz w:val="28"/>
        </w:rPr>
        <w:t>（应包括主要生产设施（设备）、主要原燃料的流向、生产工艺流程等内容）</w:t>
      </w:r>
    </w:p>
    <w:p>
      <w:pPr>
        <w:pStyle w:val="7"/>
        <w:rPr>
          <w:sz w:val="20"/>
        </w:rPr>
      </w:pPr>
    </w:p>
    <w:p>
      <w:pPr>
        <w:pStyle w:val="7"/>
        <w:rPr>
          <w:sz w:val="20"/>
        </w:rPr>
      </w:pPr>
    </w:p>
    <w:p>
      <w:pPr>
        <w:pStyle w:val="7"/>
        <w:spacing w:before="10" w:after="1"/>
        <w:rPr>
          <w:sz w:val="15"/>
        </w:rPr>
      </w:pPr>
    </w:p>
    <w:p>
      <w:pPr>
        <w:spacing w:after="0"/>
        <w:rPr>
          <w:rFonts w:hint="eastAsia" w:ascii="Times New Roman" w:eastAsia="宋体"/>
          <w:sz w:val="22"/>
          <w:lang w:eastAsia="zh-CN"/>
        </w:rPr>
        <w:sectPr>
          <w:pgSz w:w="11910" w:h="16840"/>
          <w:pgMar w:top="1420" w:right="860" w:bottom="280" w:left="1200" w:header="720" w:footer="720" w:gutter="0"/>
          <w:pgBorders>
            <w:top w:val="none" w:sz="0" w:space="0"/>
            <w:left w:val="none" w:sz="0" w:space="0"/>
            <w:bottom w:val="none" w:sz="0" w:space="0"/>
            <w:right w:val="none" w:sz="0" w:space="0"/>
          </w:pgBorders>
        </w:sectPr>
      </w:pPr>
      <w:r>
        <w:rPr>
          <w:rFonts w:hint="eastAsia" w:ascii="Times New Roman" w:eastAsia="宋体"/>
          <w:sz w:val="22"/>
          <w:lang w:eastAsia="zh-CN"/>
        </w:rPr>
        <w:drawing>
          <wp:inline distT="0" distB="0" distL="114300" distR="114300">
            <wp:extent cx="6246495" cy="4653915"/>
            <wp:effectExtent l="0" t="0" r="1905" b="13335"/>
            <wp:docPr id="9" name="图片 9" descr="新材料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材料工艺流程图2"/>
                    <pic:cNvPicPr>
                      <a:picLocks noChangeAspect="1"/>
                    </pic:cNvPicPr>
                  </pic:nvPicPr>
                  <pic:blipFill>
                    <a:blip r:embed="rId6"/>
                    <a:stretch>
                      <a:fillRect/>
                    </a:stretch>
                  </pic:blipFill>
                  <pic:spPr>
                    <a:xfrm>
                      <a:off x="0" y="0"/>
                      <a:ext cx="6246495" cy="4653915"/>
                    </a:xfrm>
                    <a:prstGeom prst="rect">
                      <a:avLst/>
                    </a:prstGeom>
                  </pic:spPr>
                </pic:pic>
              </a:graphicData>
            </a:graphic>
          </wp:inline>
        </w:drawing>
      </w:r>
    </w:p>
    <w:p>
      <w:pPr>
        <w:pStyle w:val="7"/>
        <w:ind w:left="100"/>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7"/>
        <w:rPr>
          <w:rFonts w:ascii="Microsoft JhengHei"/>
          <w:b/>
          <w:sz w:val="28"/>
        </w:rPr>
      </w:pPr>
    </w:p>
    <w:p>
      <w:pPr>
        <w:pStyle w:val="7"/>
        <w:rPr>
          <w:rFonts w:hint="eastAsia" w:ascii="Microsoft JhengHei" w:eastAsia="仿宋"/>
          <w:b/>
          <w:sz w:val="28"/>
          <w:lang w:eastAsia="zh-CN"/>
        </w:rPr>
      </w:pPr>
      <w:r>
        <w:rPr>
          <w:rFonts w:hint="eastAsia" w:ascii="Microsoft JhengHei" w:eastAsia="仿宋"/>
          <w:b/>
          <w:sz w:val="28"/>
          <w:lang w:eastAsia="zh-CN"/>
        </w:rPr>
        <w:drawing>
          <wp:inline distT="0" distB="0" distL="114300" distR="114300">
            <wp:extent cx="6242685" cy="4413885"/>
            <wp:effectExtent l="0" t="0" r="5715" b="5715"/>
            <wp:docPr id="10" name="图片 10" descr="新材料公司排污许可证_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材料公司排污许可证_2_00"/>
                    <pic:cNvPicPr>
                      <a:picLocks noChangeAspect="1"/>
                    </pic:cNvPicPr>
                  </pic:nvPicPr>
                  <pic:blipFill>
                    <a:blip r:embed="rId7"/>
                    <a:stretch>
                      <a:fillRect/>
                    </a:stretch>
                  </pic:blipFill>
                  <pic:spPr>
                    <a:xfrm>
                      <a:off x="0" y="0"/>
                      <a:ext cx="6242685" cy="4413885"/>
                    </a:xfrm>
                    <a:prstGeom prst="rect">
                      <a:avLst/>
                    </a:prstGeom>
                  </pic:spPr>
                </pic:pic>
              </a:graphicData>
            </a:graphic>
          </wp:inline>
        </w:drawing>
      </w:r>
    </w:p>
    <w:p>
      <w:pPr>
        <w:pStyle w:val="7"/>
        <w:rPr>
          <w:rFonts w:ascii="Microsoft JhengHei"/>
          <w:b/>
          <w:sz w:val="28"/>
        </w:rPr>
      </w:pPr>
    </w:p>
    <w:p>
      <w:pPr>
        <w:pStyle w:val="7"/>
        <w:spacing w:before="6"/>
        <w:rPr>
          <w:rFonts w:ascii="Microsoft JhengHei"/>
          <w:b/>
          <w:sz w:val="21"/>
        </w:rPr>
      </w:pPr>
    </w:p>
    <w:p>
      <w:pPr>
        <w:tabs>
          <w:tab w:val="left" w:pos="769"/>
        </w:tabs>
        <w:spacing w:before="0"/>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7"/>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4"/>
              <w:spacing w:before="37" w:line="412" w:lineRule="exact"/>
              <w:ind w:left="88" w:right="78"/>
              <w:jc w:val="center"/>
              <w:rPr>
                <w:rFonts w:hint="eastAsia"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w:t>
            </w:r>
            <w:r>
              <w:rPr>
                <w:rFonts w:hint="eastAsia"/>
                <w:snapToGrid w:val="0"/>
                <w:kern w:val="0"/>
                <w:sz w:val="18"/>
                <w:szCs w:val="18"/>
                <w:lang w:val="en-US" w:eastAsia="zh-CN"/>
              </w:rPr>
              <w:t>0.9.9，</w:t>
            </w:r>
            <w:r>
              <w:rPr>
                <w:snapToGrid w:val="0"/>
                <w:kern w:val="0"/>
                <w:sz w:val="18"/>
                <w:szCs w:val="18"/>
              </w:rPr>
              <w:t>东环审[201</w:t>
            </w:r>
            <w:r>
              <w:rPr>
                <w:rFonts w:hint="eastAsia"/>
                <w:snapToGrid w:val="0"/>
                <w:kern w:val="0"/>
                <w:sz w:val="18"/>
                <w:szCs w:val="18"/>
                <w:lang w:val="en-US" w:eastAsia="zh-CN"/>
              </w:rPr>
              <w:t>0</w:t>
            </w:r>
            <w:r>
              <w:rPr>
                <w:snapToGrid w:val="0"/>
                <w:kern w:val="0"/>
                <w:sz w:val="18"/>
                <w:szCs w:val="18"/>
              </w:rPr>
              <w:t>]</w:t>
            </w:r>
            <w:r>
              <w:rPr>
                <w:rFonts w:hint="eastAsia"/>
                <w:snapToGrid w:val="0"/>
                <w:kern w:val="0"/>
                <w:sz w:val="18"/>
                <w:szCs w:val="18"/>
                <w:lang w:val="en-US" w:eastAsia="zh-CN"/>
              </w:rPr>
              <w:t>59</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2011.</w:t>
            </w:r>
            <w:r>
              <w:rPr>
                <w:rFonts w:hint="eastAsia"/>
                <w:snapToGrid w:val="0"/>
                <w:kern w:val="0"/>
                <w:sz w:val="18"/>
                <w:szCs w:val="18"/>
                <w:lang w:val="en-US" w:eastAsia="zh-CN"/>
              </w:rPr>
              <w:t>11.26</w:t>
            </w:r>
            <w:r>
              <w:rPr>
                <w:snapToGrid w:val="0"/>
                <w:kern w:val="0"/>
                <w:sz w:val="18"/>
                <w:szCs w:val="18"/>
              </w:rPr>
              <w:t>，东环字[2011]</w:t>
            </w:r>
            <w:r>
              <w:rPr>
                <w:rFonts w:hint="eastAsia"/>
                <w:snapToGrid w:val="0"/>
                <w:kern w:val="0"/>
                <w:sz w:val="18"/>
                <w:szCs w:val="18"/>
                <w:lang w:val="en-US" w:eastAsia="zh-CN"/>
              </w:rPr>
              <w:t>224</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w:t>
            </w:r>
            <w:r>
              <w:rPr>
                <w:rFonts w:hint="eastAsia"/>
                <w:snapToGrid w:val="0"/>
                <w:kern w:val="0"/>
                <w:sz w:val="18"/>
                <w:szCs w:val="18"/>
              </w:rPr>
              <w:t>5</w:t>
            </w:r>
            <w:r>
              <w:rPr>
                <w:snapToGrid w:val="0"/>
                <w:kern w:val="0"/>
                <w:sz w:val="18"/>
                <w:szCs w:val="18"/>
              </w:rPr>
              <w:t>.1</w:t>
            </w:r>
            <w:r>
              <w:rPr>
                <w:rFonts w:hint="eastAsia"/>
                <w:snapToGrid w:val="0"/>
                <w:kern w:val="0"/>
                <w:sz w:val="18"/>
                <w:szCs w:val="18"/>
              </w:rPr>
              <w:t>2</w:t>
            </w:r>
            <w:r>
              <w:rPr>
                <w:snapToGrid w:val="0"/>
                <w:kern w:val="0"/>
                <w:sz w:val="18"/>
                <w:szCs w:val="18"/>
              </w:rPr>
              <w:t>.</w:t>
            </w:r>
            <w:r>
              <w:rPr>
                <w:rFonts w:hint="eastAsia"/>
                <w:snapToGrid w:val="0"/>
                <w:kern w:val="0"/>
                <w:sz w:val="18"/>
                <w:szCs w:val="18"/>
              </w:rPr>
              <w:t>31</w:t>
            </w:r>
            <w:r>
              <w:rPr>
                <w:snapToGrid w:val="0"/>
                <w:kern w:val="0"/>
                <w:sz w:val="18"/>
                <w:szCs w:val="18"/>
              </w:rPr>
              <w:t>，东环</w:t>
            </w:r>
            <w:r>
              <w:rPr>
                <w:rFonts w:hint="eastAsia"/>
                <w:snapToGrid w:val="0"/>
                <w:kern w:val="0"/>
                <w:sz w:val="18"/>
                <w:szCs w:val="18"/>
              </w:rPr>
              <w:t>审</w:t>
            </w:r>
            <w:r>
              <w:rPr>
                <w:snapToGrid w:val="0"/>
                <w:kern w:val="0"/>
                <w:sz w:val="18"/>
                <w:szCs w:val="18"/>
              </w:rPr>
              <w:t>[201</w:t>
            </w:r>
            <w:r>
              <w:rPr>
                <w:rFonts w:hint="eastAsia"/>
                <w:snapToGrid w:val="0"/>
                <w:kern w:val="0"/>
                <w:sz w:val="18"/>
                <w:szCs w:val="18"/>
              </w:rPr>
              <w:t>5</w:t>
            </w:r>
            <w:r>
              <w:rPr>
                <w:snapToGrid w:val="0"/>
                <w:kern w:val="0"/>
                <w:sz w:val="18"/>
                <w:szCs w:val="18"/>
              </w:rPr>
              <w:t>]</w:t>
            </w:r>
            <w:r>
              <w:rPr>
                <w:rFonts w:hint="eastAsia"/>
                <w:snapToGrid w:val="0"/>
                <w:kern w:val="0"/>
                <w:sz w:val="18"/>
                <w:szCs w:val="18"/>
              </w:rPr>
              <w:t>251</w:t>
            </w:r>
            <w:r>
              <w:rPr>
                <w:snapToGrid w:val="0"/>
                <w:kern w:val="0"/>
                <w:sz w:val="18"/>
                <w:szCs w:val="18"/>
              </w:rPr>
              <w:t>号</w:t>
            </w:r>
          </w:p>
        </w:tc>
      </w:tr>
    </w:tbl>
    <w:p>
      <w:pPr>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rPr>
          <w:rFonts w:hint="eastAsia" w:eastAsia="宋体"/>
          <w:lang w:eastAsia="zh-CN"/>
        </w:rPr>
        <w:drawing>
          <wp:inline distT="0" distB="0" distL="114300" distR="114300">
            <wp:extent cx="2781935" cy="3995420"/>
            <wp:effectExtent l="0" t="0" r="18415" b="5080"/>
            <wp:docPr id="14" name="图片 14" descr="①1万吨年甲乙酯项目 2010.09.09 环境影响报告书批复 东环审[2010]59号 东营市环保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①1万吨年甲乙酯项目 2010.09.09 环境影响报告书批复 东环审[2010]59号 东营市环保局_00"/>
                    <pic:cNvPicPr>
                      <a:picLocks noChangeAspect="1"/>
                    </pic:cNvPicPr>
                  </pic:nvPicPr>
                  <pic:blipFill>
                    <a:blip r:embed="rId8"/>
                    <a:stretch>
                      <a:fillRect/>
                    </a:stretch>
                  </pic:blipFill>
                  <pic:spPr>
                    <a:xfrm>
                      <a:off x="0" y="0"/>
                      <a:ext cx="2781935" cy="3995420"/>
                    </a:xfrm>
                    <a:prstGeom prst="rect">
                      <a:avLst/>
                    </a:prstGeom>
                  </pic:spPr>
                </pic:pic>
              </a:graphicData>
            </a:graphic>
          </wp:inline>
        </w:drawing>
      </w:r>
      <w:r>
        <w:rPr>
          <w:rFonts w:hint="eastAsia" w:eastAsia="宋体"/>
          <w:lang w:eastAsia="zh-CN"/>
        </w:rPr>
        <w:drawing>
          <wp:inline distT="0" distB="0" distL="114300" distR="114300">
            <wp:extent cx="2926080" cy="4202430"/>
            <wp:effectExtent l="0" t="0" r="7620" b="7620"/>
            <wp:docPr id="15" name="图片 15" descr="①1万吨年甲乙酯项目 2010.09.09 环境影响报告书批复 东环审[2010]59号 东营市环保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①1万吨年甲乙酯项目 2010.09.09 环境影响报告书批复 东环审[2010]59号 东营市环保局_01"/>
                    <pic:cNvPicPr>
                      <a:picLocks noChangeAspect="1"/>
                    </pic:cNvPicPr>
                  </pic:nvPicPr>
                  <pic:blipFill>
                    <a:blip r:embed="rId9"/>
                    <a:stretch>
                      <a:fillRect/>
                    </a:stretch>
                  </pic:blipFill>
                  <pic:spPr>
                    <a:xfrm>
                      <a:off x="0" y="0"/>
                      <a:ext cx="2926080" cy="420243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2614295" cy="3755390"/>
            <wp:effectExtent l="0" t="0" r="14605" b="16510"/>
            <wp:docPr id="16" name="图片 16" descr="①1万吨年甲乙酯项目 2010.09.09 环境影响报告书批复 东环审[2010]59号 东营市环保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①1万吨年甲乙酯项目 2010.09.09 环境影响报告书批复 东环审[2010]59号 东营市环保局_02"/>
                    <pic:cNvPicPr>
                      <a:picLocks noChangeAspect="1"/>
                    </pic:cNvPicPr>
                  </pic:nvPicPr>
                  <pic:blipFill>
                    <a:blip r:embed="rId10"/>
                    <a:stretch>
                      <a:fillRect/>
                    </a:stretch>
                  </pic:blipFill>
                  <pic:spPr>
                    <a:xfrm>
                      <a:off x="0" y="0"/>
                      <a:ext cx="2614295" cy="3755390"/>
                    </a:xfrm>
                    <a:prstGeom prst="rect">
                      <a:avLst/>
                    </a:prstGeom>
                  </pic:spPr>
                </pic:pic>
              </a:graphicData>
            </a:graphic>
          </wp:inline>
        </w:drawing>
      </w:r>
      <w:r>
        <w:rPr>
          <w:rFonts w:hint="eastAsia" w:eastAsia="宋体"/>
          <w:lang w:eastAsia="zh-CN"/>
        </w:rPr>
        <w:drawing>
          <wp:inline distT="0" distB="0" distL="114300" distR="114300">
            <wp:extent cx="2633980" cy="3783330"/>
            <wp:effectExtent l="0" t="0" r="13970" b="7620"/>
            <wp:docPr id="17" name="图片 17" descr="①1万吨年甲乙酯项目 2010.09.09 环境影响报告书批复 东环审[2010]59号 东营市环保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①1万吨年甲乙酯项目 2010.09.09 环境影响报告书批复 东环审[2010]59号 东营市环保局_03"/>
                    <pic:cNvPicPr>
                      <a:picLocks noChangeAspect="1"/>
                    </pic:cNvPicPr>
                  </pic:nvPicPr>
                  <pic:blipFill>
                    <a:blip r:embed="rId11"/>
                    <a:stretch>
                      <a:fillRect/>
                    </a:stretch>
                  </pic:blipFill>
                  <pic:spPr>
                    <a:xfrm>
                      <a:off x="0" y="0"/>
                      <a:ext cx="2633980" cy="37833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252210" cy="8837295"/>
            <wp:effectExtent l="0" t="0" r="15240" b="1905"/>
            <wp:docPr id="13" name="图片 13" descr="新材料2万吨锂离子电池电解液溶剂环评批复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材料2万吨锂离子电池电解液溶剂环评批复_0"/>
                    <pic:cNvPicPr>
                      <a:picLocks noChangeAspect="1"/>
                    </pic:cNvPicPr>
                  </pic:nvPicPr>
                  <pic:blipFill>
                    <a:blip r:embed="rId12"/>
                    <a:stretch>
                      <a:fillRect/>
                    </a:stretch>
                  </pic:blipFill>
                  <pic:spPr>
                    <a:xfrm>
                      <a:off x="0" y="0"/>
                      <a:ext cx="6252210" cy="883729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252210" cy="8837295"/>
            <wp:effectExtent l="0" t="0" r="15240" b="1905"/>
            <wp:docPr id="12" name="图片 12" descr="新材料2万吨动力锂电池溶剂项目环评批复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材料2万吨动力锂电池溶剂项目环评批复_0"/>
                    <pic:cNvPicPr>
                      <a:picLocks noChangeAspect="1"/>
                    </pic:cNvPicPr>
                  </pic:nvPicPr>
                  <pic:blipFill>
                    <a:blip r:embed="rId13"/>
                    <a:stretch>
                      <a:fillRect/>
                    </a:stretch>
                  </pic:blipFill>
                  <pic:spPr>
                    <a:xfrm>
                      <a:off x="0" y="0"/>
                      <a:ext cx="6252210" cy="8837295"/>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sectPr>
      <w:pgSz w:w="11910" w:h="16840"/>
      <w:pgMar w:top="1420" w:right="860" w:bottom="280" w:left="120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70DF"/>
    <w:rsid w:val="02BD5162"/>
    <w:rsid w:val="03B019C5"/>
    <w:rsid w:val="04EC0372"/>
    <w:rsid w:val="05162315"/>
    <w:rsid w:val="05F90A4F"/>
    <w:rsid w:val="06A92668"/>
    <w:rsid w:val="080E584B"/>
    <w:rsid w:val="0CAE57E1"/>
    <w:rsid w:val="0FEE5EAD"/>
    <w:rsid w:val="14154002"/>
    <w:rsid w:val="151661C9"/>
    <w:rsid w:val="185D7DB9"/>
    <w:rsid w:val="18D65CAE"/>
    <w:rsid w:val="1C540C54"/>
    <w:rsid w:val="1CA00A34"/>
    <w:rsid w:val="1EAF7640"/>
    <w:rsid w:val="20EF6279"/>
    <w:rsid w:val="213768C9"/>
    <w:rsid w:val="21EE38AA"/>
    <w:rsid w:val="22960F4A"/>
    <w:rsid w:val="27002FC4"/>
    <w:rsid w:val="27390B05"/>
    <w:rsid w:val="287945BA"/>
    <w:rsid w:val="2BC76818"/>
    <w:rsid w:val="2C671E26"/>
    <w:rsid w:val="2CCB5577"/>
    <w:rsid w:val="2CE42275"/>
    <w:rsid w:val="2E7B29A8"/>
    <w:rsid w:val="2ED500D9"/>
    <w:rsid w:val="313C0B50"/>
    <w:rsid w:val="33205C6F"/>
    <w:rsid w:val="33214D5E"/>
    <w:rsid w:val="33A803F0"/>
    <w:rsid w:val="35C60184"/>
    <w:rsid w:val="36A17000"/>
    <w:rsid w:val="37613479"/>
    <w:rsid w:val="3BF2665B"/>
    <w:rsid w:val="3E5E6878"/>
    <w:rsid w:val="3F6F1D2D"/>
    <w:rsid w:val="41325807"/>
    <w:rsid w:val="424F45E0"/>
    <w:rsid w:val="427A378A"/>
    <w:rsid w:val="44784F99"/>
    <w:rsid w:val="449A22DB"/>
    <w:rsid w:val="47C54353"/>
    <w:rsid w:val="488D6045"/>
    <w:rsid w:val="49D770D7"/>
    <w:rsid w:val="49F04C07"/>
    <w:rsid w:val="4BE300F2"/>
    <w:rsid w:val="4CA6610B"/>
    <w:rsid w:val="4E2977EF"/>
    <w:rsid w:val="4EB87A93"/>
    <w:rsid w:val="50EA61F1"/>
    <w:rsid w:val="5125653D"/>
    <w:rsid w:val="51524AAE"/>
    <w:rsid w:val="523E0FF7"/>
    <w:rsid w:val="52BC50FB"/>
    <w:rsid w:val="542F1A86"/>
    <w:rsid w:val="54760EBD"/>
    <w:rsid w:val="55987CD1"/>
    <w:rsid w:val="56554E13"/>
    <w:rsid w:val="56996DA9"/>
    <w:rsid w:val="574132A8"/>
    <w:rsid w:val="580A73D6"/>
    <w:rsid w:val="59E91DD6"/>
    <w:rsid w:val="5A365436"/>
    <w:rsid w:val="5A7B2E71"/>
    <w:rsid w:val="5B900FF0"/>
    <w:rsid w:val="5DE4727C"/>
    <w:rsid w:val="5FD42ED1"/>
    <w:rsid w:val="607464F2"/>
    <w:rsid w:val="63D861EF"/>
    <w:rsid w:val="660566D5"/>
    <w:rsid w:val="67224F30"/>
    <w:rsid w:val="68C927C6"/>
    <w:rsid w:val="69477A62"/>
    <w:rsid w:val="6BED29D3"/>
    <w:rsid w:val="6C3F68CA"/>
    <w:rsid w:val="6DC56CE2"/>
    <w:rsid w:val="75221699"/>
    <w:rsid w:val="7E2152E0"/>
    <w:rsid w:val="7F0743E4"/>
    <w:rsid w:val="7F4062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15" w:lineRule="exact"/>
      <w:ind w:left="698"/>
      <w:outlineLvl w:val="1"/>
    </w:pPr>
    <w:rPr>
      <w:rFonts w:ascii="Microsoft JhengHei" w:hAnsi="Microsoft JhengHei" w:eastAsia="Microsoft JhengHei" w:cs="Microsoft JhengHei"/>
      <w:b/>
      <w:bCs/>
      <w:sz w:val="32"/>
      <w:szCs w:val="32"/>
      <w:lang w:val="zh-CN" w:eastAsia="zh-CN" w:bidi="zh-CN"/>
    </w:rPr>
  </w:style>
  <w:style w:type="paragraph" w:styleId="4">
    <w:name w:val="heading 2"/>
    <w:basedOn w:val="1"/>
    <w:next w:val="1"/>
    <w:qFormat/>
    <w:uiPriority w:val="1"/>
    <w:pPr>
      <w:spacing w:before="106"/>
      <w:ind w:left="218" w:right="347" w:firstLine="640"/>
      <w:jc w:val="both"/>
      <w:outlineLvl w:val="2"/>
    </w:pPr>
    <w:rPr>
      <w:rFonts w:ascii="仿宋" w:hAnsi="仿宋" w:eastAsia="仿宋" w:cs="仿宋"/>
      <w:sz w:val="32"/>
      <w:szCs w:val="32"/>
      <w:lang w:val="zh-CN" w:eastAsia="zh-CN" w:bidi="zh-CN"/>
    </w:rPr>
  </w:style>
  <w:style w:type="paragraph" w:styleId="5">
    <w:name w:val="heading 3"/>
    <w:basedOn w:val="1"/>
    <w:next w:val="1"/>
    <w:qFormat/>
    <w:uiPriority w:val="1"/>
    <w:pPr>
      <w:spacing w:line="484" w:lineRule="exact"/>
      <w:ind w:right="55"/>
      <w:jc w:val="center"/>
      <w:outlineLvl w:val="3"/>
    </w:pPr>
    <w:rPr>
      <w:rFonts w:ascii="Microsoft JhengHei" w:hAnsi="Microsoft JhengHei" w:eastAsia="Microsoft JhengHei" w:cs="Microsoft JhengHei"/>
      <w:b/>
      <w:bCs/>
      <w:sz w:val="28"/>
      <w:szCs w:val="28"/>
      <w:lang w:val="zh-CN" w:eastAsia="zh-CN" w:bidi="zh-CN"/>
    </w:rPr>
  </w:style>
  <w:style w:type="character" w:default="1" w:styleId="10">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unhideWhenUsed/>
    <w:qFormat/>
    <w:uiPriority w:val="99"/>
  </w:style>
  <w:style w:type="paragraph" w:styleId="7">
    <w:name w:val="Body Text"/>
    <w:basedOn w:val="1"/>
    <w:qFormat/>
    <w:uiPriority w:val="1"/>
    <w:rPr>
      <w:rFonts w:ascii="仿宋" w:hAnsi="仿宋" w:eastAsia="仿宋" w:cs="仿宋"/>
      <w:sz w:val="24"/>
      <w:szCs w:val="24"/>
      <w:lang w:val="zh-CN" w:eastAsia="zh-CN" w:bidi="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962" w:hanging="720"/>
    </w:pPr>
    <w:rPr>
      <w:rFonts w:ascii="仿宋" w:hAnsi="仿宋" w:eastAsia="仿宋" w:cs="仿宋"/>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1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 w:type="paragraph" w:customStyle="1" w:styleId="18">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2020-12-13T02:41:00Z</dcterms:created>
  <dc:creator>hbt</dc:creator>
  <cp:lastModifiedBy>木易</cp:lastModifiedBy>
  <dcterms:modified xsi:type="dcterms:W3CDTF">2021-01-20T00:46:39Z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2020-12-13T00:00:00Z</vt:filetime>
  </property>
  <property fmtid="{D5CDD505-2E9C-101B-9397-08002B2CF9AE}" pid="5" name="KSOProductBuildVer">
    <vt:lpwstr>2052-11.1.0.10314</vt:lpwstr>
  </property>
</Properties>
</file>